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8C12" w14:textId="77777777" w:rsidR="008A2143" w:rsidRPr="00DB6F3D" w:rsidRDefault="00360745">
      <w:pPr>
        <w:rPr>
          <w:rFonts w:cstheme="minorHAnsi"/>
          <w:b/>
          <w:lang w:val="de-DE"/>
        </w:rPr>
      </w:pPr>
      <w:r>
        <w:rPr>
          <w:rFonts w:cstheme="minorHAnsi"/>
          <w:b/>
          <w:lang w:val="de-DE"/>
        </w:rPr>
        <w:t>(</w:t>
      </w:r>
      <w:r w:rsidR="00931A40" w:rsidRPr="00DB6F3D">
        <w:rPr>
          <w:rFonts w:cstheme="minorHAnsi"/>
          <w:b/>
          <w:lang w:val="de-DE"/>
        </w:rPr>
        <w:t>Quantitative</w:t>
      </w:r>
      <w:r>
        <w:rPr>
          <w:rFonts w:cstheme="minorHAnsi"/>
          <w:b/>
          <w:lang w:val="de-DE"/>
        </w:rPr>
        <w:t>)</w:t>
      </w:r>
      <w:r w:rsidR="00931A40" w:rsidRPr="00DB6F3D">
        <w:rPr>
          <w:rFonts w:cstheme="minorHAnsi"/>
          <w:b/>
          <w:lang w:val="de-DE"/>
        </w:rPr>
        <w:t xml:space="preserve"> Modellierung produktionswirtschaftlicher Systeme</w:t>
      </w:r>
    </w:p>
    <w:p w14:paraId="24355F8A" w14:textId="23369C61" w:rsidR="008A2143" w:rsidRPr="00D67AB8" w:rsidRDefault="008A2143">
      <w:pPr>
        <w:rPr>
          <w:rFonts w:cstheme="minorHAnsi"/>
          <w:b/>
          <w:lang w:val="de-DE"/>
        </w:rPr>
      </w:pPr>
      <w:r w:rsidRPr="00DB6F3D">
        <w:rPr>
          <w:rFonts w:cstheme="minorHAnsi"/>
          <w:b/>
          <w:lang w:val="de-DE"/>
        </w:rPr>
        <w:t>WS 201</w:t>
      </w:r>
      <w:r w:rsidR="00187999">
        <w:rPr>
          <w:rFonts w:cstheme="minorHAnsi"/>
          <w:b/>
          <w:lang w:val="de-DE"/>
        </w:rPr>
        <w:t>9/2020</w:t>
      </w:r>
      <w:r w:rsidR="00D67AB8">
        <w:rPr>
          <w:rFonts w:cstheme="minorHAnsi"/>
          <w:b/>
          <w:lang w:val="de-DE"/>
        </w:rPr>
        <w:t xml:space="preserve">, </w:t>
      </w:r>
      <w:r w:rsidR="008E6B2D" w:rsidRPr="00DB6F3D">
        <w:rPr>
          <w:rFonts w:cstheme="minorHAnsi"/>
          <w:lang w:val="de-DE"/>
        </w:rPr>
        <w:t xml:space="preserve">Version: </w:t>
      </w:r>
      <w:r w:rsidR="00771937">
        <w:rPr>
          <w:rFonts w:cstheme="minorHAnsi"/>
          <w:lang w:val="de-DE"/>
        </w:rPr>
        <w:t>09</w:t>
      </w:r>
      <w:r w:rsidR="00521644">
        <w:rPr>
          <w:rFonts w:cstheme="minorHAnsi"/>
          <w:lang w:val="de-DE"/>
        </w:rPr>
        <w:t xml:space="preserve">. </w:t>
      </w:r>
      <w:r w:rsidR="00771937">
        <w:rPr>
          <w:rFonts w:cstheme="minorHAnsi"/>
          <w:lang w:val="de-DE"/>
        </w:rPr>
        <w:t>Oktober</w:t>
      </w:r>
      <w:bookmarkStart w:id="0" w:name="_GoBack"/>
      <w:bookmarkEnd w:id="0"/>
      <w:r w:rsidR="00521644">
        <w:rPr>
          <w:rFonts w:cstheme="minorHAnsi"/>
          <w:lang w:val="de-DE"/>
        </w:rPr>
        <w:t xml:space="preserve"> 201</w:t>
      </w:r>
      <w:r w:rsidR="00187999">
        <w:rPr>
          <w:rFonts w:cstheme="minorHAnsi"/>
          <w:lang w:val="de-DE"/>
        </w:rPr>
        <w:t>9</w:t>
      </w:r>
    </w:p>
    <w:p w14:paraId="2E9EF22C" w14:textId="77777777" w:rsidR="008A2143" w:rsidRDefault="008A2143">
      <w:pPr>
        <w:rPr>
          <w:rFonts w:cstheme="minorHAnsi"/>
          <w:u w:val="single"/>
          <w:lang w:val="de-DE"/>
        </w:rPr>
      </w:pPr>
    </w:p>
    <w:p w14:paraId="22BD4EF0" w14:textId="77777777" w:rsidR="00E7000C" w:rsidRDefault="00E7000C" w:rsidP="00E7000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Achtung: Dieses Dokument entspricht unseren Planungen vor Semesterbeginn; es wird </w:t>
      </w:r>
      <w:r>
        <w:rPr>
          <w:rFonts w:cstheme="minorHAnsi"/>
          <w:b/>
          <w:lang w:val="de-DE"/>
        </w:rPr>
        <w:t>nicht</w:t>
      </w:r>
      <w:r>
        <w:rPr>
          <w:rFonts w:cstheme="minorHAnsi"/>
          <w:lang w:val="de-DE"/>
        </w:rPr>
        <w:t xml:space="preserve"> regelmäßig aktualisiert. Für kurzfristige räumliche oder zeitliche Änderungen siehe Campus. Inhaltliche Änderungen werden in der Veranstaltung besprochen und ggf. auf Ilias kommuniziert.</w:t>
      </w:r>
    </w:p>
    <w:p w14:paraId="538A1591" w14:textId="77777777" w:rsidR="00E7000C" w:rsidRPr="00DB6F3D" w:rsidRDefault="00E7000C">
      <w:pPr>
        <w:rPr>
          <w:rFonts w:cstheme="minorHAnsi"/>
          <w:u w:val="single"/>
          <w:lang w:val="de-DE"/>
        </w:rPr>
      </w:pPr>
    </w:p>
    <w:p w14:paraId="736A4758" w14:textId="77777777" w:rsidR="0077737A" w:rsidRPr="0077737A" w:rsidRDefault="0077737A" w:rsidP="0077737A">
      <w:pPr>
        <w:rPr>
          <w:u w:val="single"/>
          <w:lang w:val="de-DE"/>
        </w:rPr>
      </w:pPr>
      <w:r w:rsidRPr="0077737A">
        <w:rPr>
          <w:u w:val="single"/>
          <w:lang w:val="de-DE"/>
        </w:rPr>
        <w:t>Kontext</w:t>
      </w:r>
    </w:p>
    <w:p w14:paraId="4F3FFBD8" w14:textId="77777777" w:rsidR="0077737A" w:rsidRDefault="0077737A" w:rsidP="0077737A">
      <w:pPr>
        <w:rPr>
          <w:lang w:val="de-DE"/>
        </w:rPr>
      </w:pPr>
      <w:r>
        <w:rPr>
          <w:lang w:val="de-DE"/>
        </w:rPr>
        <w:t>Veranstaltung jedes</w:t>
      </w:r>
      <w:r w:rsidRPr="0077737A">
        <w:rPr>
          <w:lang w:val="de-DE"/>
        </w:rPr>
        <w:t xml:space="preserve"> Wintersemester</w:t>
      </w:r>
      <w:r>
        <w:rPr>
          <w:lang w:val="de-DE"/>
        </w:rPr>
        <w:t>; Dauer: ein Semester</w:t>
      </w:r>
    </w:p>
    <w:p w14:paraId="64AD777E" w14:textId="77777777" w:rsidR="0077737A" w:rsidRPr="0077737A" w:rsidRDefault="0077737A" w:rsidP="0077737A">
      <w:pPr>
        <w:rPr>
          <w:lang w:val="de-DE"/>
        </w:rPr>
      </w:pPr>
      <w:r>
        <w:rPr>
          <w:lang w:val="de-DE"/>
        </w:rPr>
        <w:t xml:space="preserve">Sechs Leistungspunkte; im Schnitt, vier </w:t>
      </w:r>
      <w:r w:rsidR="0011632E">
        <w:rPr>
          <w:lang w:val="de-DE"/>
        </w:rPr>
        <w:t>Stunden Veranstaltung pro Woche</w:t>
      </w:r>
    </w:p>
    <w:p w14:paraId="6DCDF76F" w14:textId="77777777" w:rsidR="0077737A" w:rsidRPr="0077737A" w:rsidRDefault="0077737A" w:rsidP="0077737A">
      <w:pPr>
        <w:rPr>
          <w:lang w:val="de-DE"/>
        </w:rPr>
      </w:pPr>
      <w:r w:rsidRPr="0077737A">
        <w:rPr>
          <w:lang w:val="de-DE"/>
        </w:rPr>
        <w:t>Modulkoordinator und Dozent: Prof</w:t>
      </w:r>
      <w:r>
        <w:rPr>
          <w:lang w:val="de-DE"/>
        </w:rPr>
        <w:t>.</w:t>
      </w:r>
      <w:r w:rsidRPr="0077737A">
        <w:rPr>
          <w:lang w:val="de-DE"/>
        </w:rPr>
        <w:t xml:space="preserve"> Dr</w:t>
      </w:r>
      <w:r>
        <w:rPr>
          <w:lang w:val="de-DE"/>
        </w:rPr>
        <w:t>.</w:t>
      </w:r>
      <w:r w:rsidRPr="0077737A">
        <w:rPr>
          <w:lang w:val="de-DE"/>
        </w:rPr>
        <w:t xml:space="preserve"> Andreas Größler; </w:t>
      </w:r>
      <w:r w:rsidR="00EA552F">
        <w:rPr>
          <w:lang w:val="de-DE"/>
        </w:rPr>
        <w:t>weitere Dozenten</w:t>
      </w:r>
      <w:r w:rsidRPr="0077737A">
        <w:rPr>
          <w:lang w:val="de-DE"/>
        </w:rPr>
        <w:t xml:space="preserve">: Ivan </w:t>
      </w:r>
      <w:proofErr w:type="spellStart"/>
      <w:r w:rsidRPr="0077737A">
        <w:rPr>
          <w:rFonts w:cstheme="minorHAnsi"/>
          <w:lang w:val="de-DE"/>
        </w:rPr>
        <w:t>Ð</w:t>
      </w:r>
      <w:r w:rsidRPr="0077737A">
        <w:rPr>
          <w:lang w:val="de-DE"/>
        </w:rPr>
        <w:t>ula</w:t>
      </w:r>
      <w:proofErr w:type="spellEnd"/>
      <w:r w:rsidRPr="0077737A">
        <w:rPr>
          <w:lang w:val="de-DE"/>
        </w:rPr>
        <w:t xml:space="preserve"> </w:t>
      </w:r>
      <w:r>
        <w:rPr>
          <w:lang w:val="de-DE"/>
        </w:rPr>
        <w:t>u</w:t>
      </w:r>
      <w:r w:rsidRPr="0077737A">
        <w:rPr>
          <w:lang w:val="de-DE"/>
        </w:rPr>
        <w:t>nd Manuel Brauch</w:t>
      </w:r>
    </w:p>
    <w:p w14:paraId="119A554A" w14:textId="77777777" w:rsidR="0077737A" w:rsidRPr="0077737A" w:rsidRDefault="0077737A" w:rsidP="0077737A">
      <w:pPr>
        <w:rPr>
          <w:lang w:val="de-DE"/>
        </w:rPr>
      </w:pPr>
      <w:r w:rsidRPr="0077737A">
        <w:rPr>
          <w:lang w:val="de-DE"/>
        </w:rPr>
        <w:t>Teil des Bachelor-Programms in technisch-orient</w:t>
      </w:r>
      <w:r w:rsidR="0011632E">
        <w:rPr>
          <w:lang w:val="de-DE"/>
        </w:rPr>
        <w:t>ierter Betriebswirtschaftslehre</w:t>
      </w:r>
    </w:p>
    <w:p w14:paraId="68C6A403" w14:textId="77777777" w:rsidR="0077737A" w:rsidRPr="0077737A" w:rsidRDefault="0077737A" w:rsidP="0077737A">
      <w:pPr>
        <w:rPr>
          <w:lang w:val="de-DE"/>
        </w:rPr>
      </w:pPr>
    </w:p>
    <w:p w14:paraId="278F06C5" w14:textId="77777777" w:rsidR="00C72B84" w:rsidRPr="00DB6F3D" w:rsidRDefault="008A2143">
      <w:pPr>
        <w:rPr>
          <w:rFonts w:cstheme="minorHAnsi"/>
          <w:u w:val="single"/>
          <w:lang w:val="de-DE"/>
        </w:rPr>
      </w:pPr>
      <w:r w:rsidRPr="00DB6F3D">
        <w:rPr>
          <w:rFonts w:cstheme="minorHAnsi"/>
          <w:u w:val="single"/>
          <w:lang w:val="de-DE"/>
        </w:rPr>
        <w:t>Lernziele</w:t>
      </w:r>
    </w:p>
    <w:p w14:paraId="35037AD3" w14:textId="77777777" w:rsidR="00931A40" w:rsidRPr="00DB6F3D" w:rsidRDefault="00931A40" w:rsidP="00931A40">
      <w:pPr>
        <w:rPr>
          <w:rFonts w:cstheme="minorHAnsi"/>
          <w:lang w:val="de-DE"/>
        </w:rPr>
      </w:pPr>
      <w:r w:rsidRPr="00DB6F3D">
        <w:rPr>
          <w:rFonts w:cstheme="minorHAnsi"/>
          <w:lang w:val="de-DE"/>
        </w:rPr>
        <w:t>Nach erfolgreichem Abschluss des Kurses können Studierende:</w:t>
      </w:r>
    </w:p>
    <w:p w14:paraId="618BC086" w14:textId="77777777" w:rsidR="00931A40" w:rsidRPr="00DB6F3D" w:rsidRDefault="00931A40" w:rsidP="00931A40">
      <w:pPr>
        <w:pStyle w:val="Listenabsatz"/>
        <w:numPr>
          <w:ilvl w:val="0"/>
          <w:numId w:val="3"/>
        </w:numPr>
        <w:rPr>
          <w:rFonts w:cstheme="minorHAnsi"/>
          <w:lang w:val="de-DE"/>
        </w:rPr>
      </w:pPr>
      <w:r w:rsidRPr="00DB6F3D">
        <w:rPr>
          <w:rFonts w:cstheme="minorHAnsi"/>
          <w:lang w:val="de-DE"/>
        </w:rPr>
        <w:t>Die Verwendungskriterien verschiedener Modellierungsansätze benennen</w:t>
      </w:r>
    </w:p>
    <w:p w14:paraId="4965C6A5" w14:textId="77777777" w:rsidR="00931A40" w:rsidRPr="00DB6F3D" w:rsidRDefault="00931A40" w:rsidP="00931A40">
      <w:pPr>
        <w:pStyle w:val="Listenabsatz"/>
        <w:numPr>
          <w:ilvl w:val="0"/>
          <w:numId w:val="3"/>
        </w:numPr>
        <w:rPr>
          <w:rFonts w:cstheme="minorHAnsi"/>
          <w:lang w:val="de-DE"/>
        </w:rPr>
      </w:pPr>
      <w:r w:rsidRPr="00DB6F3D">
        <w:rPr>
          <w:rFonts w:cstheme="minorHAnsi"/>
          <w:lang w:val="de-DE"/>
        </w:rPr>
        <w:t>Einfache Modellierungen auf Grundlage der besprochenen Methoden selbst durchführen</w:t>
      </w:r>
    </w:p>
    <w:p w14:paraId="60828C58" w14:textId="77777777" w:rsidR="00931A40" w:rsidRPr="00DB6F3D" w:rsidRDefault="00931A40" w:rsidP="00931A40">
      <w:pPr>
        <w:pStyle w:val="Listenabsatz"/>
        <w:numPr>
          <w:ilvl w:val="0"/>
          <w:numId w:val="3"/>
        </w:numPr>
        <w:rPr>
          <w:rFonts w:cstheme="minorHAnsi"/>
          <w:lang w:val="de-DE"/>
        </w:rPr>
      </w:pPr>
      <w:r w:rsidRPr="00DB6F3D">
        <w:rPr>
          <w:rFonts w:cstheme="minorHAnsi"/>
          <w:lang w:val="de-DE"/>
        </w:rPr>
        <w:t>Möglichkeiten und Grenzen von Modellierung und Simulation diskutieren</w:t>
      </w:r>
    </w:p>
    <w:p w14:paraId="0B4EF519" w14:textId="77777777" w:rsidR="004E78E7" w:rsidRPr="00DB6F3D" w:rsidRDefault="004E78E7" w:rsidP="00931A40">
      <w:pPr>
        <w:pStyle w:val="Listenabsatz"/>
        <w:numPr>
          <w:ilvl w:val="0"/>
          <w:numId w:val="3"/>
        </w:numPr>
        <w:rPr>
          <w:rFonts w:cstheme="minorHAnsi"/>
          <w:lang w:val="de-DE"/>
        </w:rPr>
      </w:pPr>
      <w:r w:rsidRPr="00DB6F3D">
        <w:rPr>
          <w:rFonts w:cstheme="minorHAnsi"/>
          <w:lang w:val="de-DE"/>
        </w:rPr>
        <w:t>Einfache analytische Verfahren der Produktionswirtschaft anwenden</w:t>
      </w:r>
    </w:p>
    <w:p w14:paraId="6F1D6D7C" w14:textId="77777777" w:rsidR="008A2143" w:rsidRPr="00DB6F3D" w:rsidRDefault="008A2143">
      <w:pPr>
        <w:rPr>
          <w:rFonts w:cstheme="minorHAnsi"/>
          <w:lang w:val="de-DE"/>
        </w:rPr>
      </w:pPr>
    </w:p>
    <w:p w14:paraId="56FE3118" w14:textId="77777777" w:rsidR="008A2143" w:rsidRPr="00DB6F3D" w:rsidRDefault="008A2143">
      <w:pPr>
        <w:rPr>
          <w:rFonts w:cstheme="minorHAnsi"/>
          <w:u w:val="single"/>
          <w:lang w:val="de-DE"/>
        </w:rPr>
      </w:pPr>
      <w:r w:rsidRPr="00DB6F3D">
        <w:rPr>
          <w:rFonts w:cstheme="minorHAnsi"/>
          <w:u w:val="single"/>
          <w:lang w:val="de-DE"/>
        </w:rPr>
        <w:t>Inhalt</w:t>
      </w:r>
    </w:p>
    <w:p w14:paraId="70AE5A14" w14:textId="77777777" w:rsidR="008A2143" w:rsidRPr="00DB6F3D" w:rsidRDefault="00931A40">
      <w:pPr>
        <w:rPr>
          <w:rFonts w:cstheme="minorHAnsi"/>
          <w:lang w:val="de-DE"/>
        </w:rPr>
      </w:pPr>
      <w:r w:rsidRPr="00DB6F3D">
        <w:rPr>
          <w:rFonts w:cstheme="minorHAnsi"/>
          <w:lang w:val="de-DE"/>
        </w:rPr>
        <w:t>Der Kurs behandelt verschiedene Methoden d</w:t>
      </w:r>
      <w:r w:rsidR="004E78E7" w:rsidRPr="00DB6F3D">
        <w:rPr>
          <w:rFonts w:cstheme="minorHAnsi"/>
          <w:lang w:val="de-DE"/>
        </w:rPr>
        <w:t>er Modellierung produktionswirt</w:t>
      </w:r>
      <w:r w:rsidRPr="00DB6F3D">
        <w:rPr>
          <w:rFonts w:cstheme="minorHAnsi"/>
          <w:lang w:val="de-DE"/>
        </w:rPr>
        <w:t xml:space="preserve">schaftlicher Systems, insbesondere Simulationsmodelle (Monte-Carlo-Simulation, </w:t>
      </w:r>
      <w:proofErr w:type="spellStart"/>
      <w:r w:rsidRPr="00DB6F3D">
        <w:rPr>
          <w:rFonts w:cstheme="minorHAnsi"/>
          <w:lang w:val="de-DE"/>
        </w:rPr>
        <w:t>Discrete</w:t>
      </w:r>
      <w:proofErr w:type="spellEnd"/>
      <w:r w:rsidRPr="00DB6F3D">
        <w:rPr>
          <w:rFonts w:cstheme="minorHAnsi"/>
          <w:lang w:val="de-DE"/>
        </w:rPr>
        <w:t>-</w:t>
      </w:r>
      <w:r w:rsidR="00C11601" w:rsidRPr="00DB6F3D">
        <w:rPr>
          <w:rFonts w:cstheme="minorHAnsi"/>
          <w:lang w:val="de-DE"/>
        </w:rPr>
        <w:t>E</w:t>
      </w:r>
      <w:r w:rsidRPr="00DB6F3D">
        <w:rPr>
          <w:rFonts w:cstheme="minorHAnsi"/>
          <w:lang w:val="de-DE"/>
        </w:rPr>
        <w:t>vent Simulation, Agent-</w:t>
      </w:r>
      <w:proofErr w:type="spellStart"/>
      <w:r w:rsidRPr="00DB6F3D">
        <w:rPr>
          <w:rFonts w:cstheme="minorHAnsi"/>
          <w:lang w:val="de-DE"/>
        </w:rPr>
        <w:t>based</w:t>
      </w:r>
      <w:proofErr w:type="spellEnd"/>
      <w:r w:rsidRPr="00DB6F3D">
        <w:rPr>
          <w:rFonts w:cstheme="minorHAnsi"/>
          <w:lang w:val="de-DE"/>
        </w:rPr>
        <w:t xml:space="preserve"> Simulation, System </w:t>
      </w:r>
      <w:r w:rsidR="00C11601" w:rsidRPr="00DB6F3D">
        <w:rPr>
          <w:rFonts w:cstheme="minorHAnsi"/>
          <w:lang w:val="de-DE"/>
        </w:rPr>
        <w:t>D</w:t>
      </w:r>
      <w:r w:rsidRPr="00DB6F3D">
        <w:rPr>
          <w:rFonts w:cstheme="minorHAnsi"/>
          <w:lang w:val="de-DE"/>
        </w:rPr>
        <w:t xml:space="preserve">ynamics). Daneben werden auch beispielhafte analytische Verfahren aus dem Bereich der Produktionswirtschaft besprochen, soweit diese noch nicht in der Grundlagenveranstaltung </w:t>
      </w:r>
      <w:r w:rsidRPr="00521644">
        <w:rPr>
          <w:rFonts w:cstheme="minorHAnsi"/>
          <w:i/>
          <w:lang w:val="de-DE"/>
        </w:rPr>
        <w:t>Produktionsmanagement</w:t>
      </w:r>
      <w:r w:rsidRPr="00DB6F3D">
        <w:rPr>
          <w:rFonts w:cstheme="minorHAnsi"/>
          <w:lang w:val="de-DE"/>
        </w:rPr>
        <w:t xml:space="preserve"> behandelt wurden.</w:t>
      </w:r>
    </w:p>
    <w:p w14:paraId="6BC2B4D6" w14:textId="77777777" w:rsidR="00931A40" w:rsidRPr="00DB6F3D" w:rsidRDefault="00931A40">
      <w:pPr>
        <w:rPr>
          <w:rFonts w:cstheme="minorHAnsi"/>
          <w:lang w:val="de-DE"/>
        </w:rPr>
      </w:pPr>
    </w:p>
    <w:p w14:paraId="27A07473" w14:textId="77777777" w:rsidR="00FF0FAD" w:rsidRDefault="00FF0FAD" w:rsidP="00FF0FAD">
      <w:pPr>
        <w:rPr>
          <w:rFonts w:cstheme="minorHAnsi"/>
          <w:u w:val="single"/>
          <w:lang w:val="de-DE"/>
        </w:rPr>
      </w:pPr>
      <w:r w:rsidRPr="00DB6F3D">
        <w:rPr>
          <w:rFonts w:cstheme="minorHAnsi"/>
          <w:u w:val="single"/>
          <w:lang w:val="de-DE"/>
        </w:rPr>
        <w:t>Vorlesungs</w:t>
      </w:r>
      <w:r w:rsidR="003322CC">
        <w:rPr>
          <w:rFonts w:cstheme="minorHAnsi"/>
          <w:u w:val="single"/>
          <w:lang w:val="de-DE"/>
        </w:rPr>
        <w:t>- und Übungs</w:t>
      </w:r>
      <w:r w:rsidRPr="00DB6F3D">
        <w:rPr>
          <w:rFonts w:cstheme="minorHAnsi"/>
          <w:u w:val="single"/>
          <w:lang w:val="de-DE"/>
        </w:rPr>
        <w:t>plan</w:t>
      </w:r>
    </w:p>
    <w:p w14:paraId="51A0193F" w14:textId="31363E32" w:rsidR="00D72AF4" w:rsidRDefault="00B1401C" w:rsidP="00FF0FAD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Der Kurs</w:t>
      </w:r>
      <w:r w:rsidR="00F73732" w:rsidRPr="00F73732">
        <w:rPr>
          <w:rFonts w:cstheme="minorHAnsi"/>
          <w:lang w:val="de-DE"/>
        </w:rPr>
        <w:t xml:space="preserve"> findet </w:t>
      </w:r>
      <w:r w:rsidR="00521644">
        <w:rPr>
          <w:rFonts w:cstheme="minorHAnsi"/>
          <w:lang w:val="de-DE"/>
        </w:rPr>
        <w:t xml:space="preserve">an </w:t>
      </w:r>
      <w:r>
        <w:rPr>
          <w:rFonts w:cstheme="minorHAnsi"/>
          <w:lang w:val="de-DE"/>
        </w:rPr>
        <w:t>acht</w:t>
      </w:r>
      <w:r w:rsidR="00521644">
        <w:rPr>
          <w:rFonts w:cstheme="minorHAnsi"/>
          <w:lang w:val="de-DE"/>
        </w:rPr>
        <w:t xml:space="preserve"> Freitagen </w:t>
      </w:r>
      <w:r>
        <w:rPr>
          <w:rFonts w:cstheme="minorHAnsi"/>
          <w:lang w:val="de-DE"/>
        </w:rPr>
        <w:t xml:space="preserve">in Form </w:t>
      </w:r>
      <w:r w:rsidR="00521644">
        <w:rPr>
          <w:rFonts w:cstheme="minorHAnsi"/>
          <w:lang w:val="de-DE"/>
        </w:rPr>
        <w:t>kombinierte</w:t>
      </w:r>
      <w:r>
        <w:rPr>
          <w:rFonts w:cstheme="minorHAnsi"/>
          <w:lang w:val="de-DE"/>
        </w:rPr>
        <w:t>r</w:t>
      </w:r>
      <w:r w:rsidR="00521644">
        <w:rPr>
          <w:rFonts w:cstheme="minorHAnsi"/>
          <w:lang w:val="de-DE"/>
        </w:rPr>
        <w:t xml:space="preserve"> Vorlesungen und Übungen von </w:t>
      </w:r>
      <w:r w:rsidR="00782AC9">
        <w:rPr>
          <w:rFonts w:cstheme="minorHAnsi"/>
          <w:lang w:val="de-DE"/>
        </w:rPr>
        <w:t>11</w:t>
      </w:r>
      <w:r w:rsidR="00521644">
        <w:rPr>
          <w:rFonts w:cstheme="minorHAnsi"/>
          <w:lang w:val="de-DE"/>
        </w:rPr>
        <w:t>:</w:t>
      </w:r>
      <w:r w:rsidR="00782AC9">
        <w:rPr>
          <w:rFonts w:cstheme="minorHAnsi"/>
          <w:lang w:val="de-DE"/>
        </w:rPr>
        <w:t>30</w:t>
      </w:r>
      <w:r w:rsidR="00E808CA">
        <w:rPr>
          <w:rFonts w:cstheme="minorHAnsi"/>
          <w:lang w:val="de-DE"/>
        </w:rPr>
        <w:t xml:space="preserve"> bis 1</w:t>
      </w:r>
      <w:r w:rsidR="00782AC9">
        <w:rPr>
          <w:rFonts w:cstheme="minorHAnsi"/>
          <w:lang w:val="de-DE"/>
        </w:rPr>
        <w:t>7</w:t>
      </w:r>
      <w:r w:rsidR="00E808CA">
        <w:rPr>
          <w:rFonts w:cstheme="minorHAnsi"/>
          <w:lang w:val="de-DE"/>
        </w:rPr>
        <w:t>:</w:t>
      </w:r>
      <w:r w:rsidR="00782AC9">
        <w:rPr>
          <w:rFonts w:cstheme="minorHAnsi"/>
          <w:lang w:val="de-DE"/>
        </w:rPr>
        <w:t>15</w:t>
      </w:r>
      <w:r w:rsidR="00E808CA">
        <w:rPr>
          <w:rFonts w:cstheme="minorHAnsi"/>
          <w:lang w:val="de-DE"/>
        </w:rPr>
        <w:t xml:space="preserve"> Uhr </w:t>
      </w:r>
      <w:r w:rsidR="00E808CA" w:rsidRPr="00171EB4">
        <w:rPr>
          <w:rFonts w:cstheme="minorHAnsi"/>
          <w:lang w:val="de-DE"/>
        </w:rPr>
        <w:t>in M </w:t>
      </w:r>
      <w:r w:rsidR="00521644" w:rsidRPr="00171EB4">
        <w:rPr>
          <w:rFonts w:cstheme="minorHAnsi"/>
          <w:lang w:val="de-DE"/>
        </w:rPr>
        <w:t>17.13 statt (einschließlich Mittagspause; Pausenzeiten werden flexibel festgelegt).</w:t>
      </w:r>
    </w:p>
    <w:p w14:paraId="05F56BF1" w14:textId="7CB64E6E" w:rsidR="003860CA" w:rsidRDefault="003860C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3233"/>
        <w:gridCol w:w="992"/>
        <w:gridCol w:w="1560"/>
        <w:gridCol w:w="2171"/>
      </w:tblGrid>
      <w:tr w:rsidR="00026A96" w:rsidRPr="00DB6F3D" w14:paraId="5EAF447A" w14:textId="77777777" w:rsidTr="00E808CA">
        <w:tc>
          <w:tcPr>
            <w:tcW w:w="1440" w:type="dxa"/>
          </w:tcPr>
          <w:p w14:paraId="333ABF2A" w14:textId="77777777" w:rsidR="00026A96" w:rsidRPr="00DB6F3D" w:rsidRDefault="00026A96" w:rsidP="00FF0FAD">
            <w:pPr>
              <w:rPr>
                <w:rFonts w:cstheme="minorHAnsi"/>
                <w:b/>
                <w:lang w:val="de-DE"/>
              </w:rPr>
            </w:pPr>
            <w:r w:rsidRPr="00DB6F3D">
              <w:rPr>
                <w:rFonts w:cstheme="minorHAnsi"/>
                <w:b/>
                <w:lang w:val="de-DE"/>
              </w:rPr>
              <w:lastRenderedPageBreak/>
              <w:t>Datum</w:t>
            </w:r>
          </w:p>
        </w:tc>
        <w:tc>
          <w:tcPr>
            <w:tcW w:w="3233" w:type="dxa"/>
          </w:tcPr>
          <w:p w14:paraId="6FC47417" w14:textId="77777777" w:rsidR="00026A96" w:rsidRPr="00DB6F3D" w:rsidRDefault="00026A96" w:rsidP="00FF0FAD">
            <w:pPr>
              <w:rPr>
                <w:rFonts w:cstheme="minorHAnsi"/>
                <w:b/>
                <w:lang w:val="de-DE"/>
              </w:rPr>
            </w:pPr>
            <w:r w:rsidRPr="00DB6F3D">
              <w:rPr>
                <w:rFonts w:cstheme="minorHAnsi"/>
                <w:b/>
                <w:lang w:val="de-DE"/>
              </w:rPr>
              <w:t>Thema</w:t>
            </w:r>
          </w:p>
        </w:tc>
        <w:tc>
          <w:tcPr>
            <w:tcW w:w="992" w:type="dxa"/>
          </w:tcPr>
          <w:p w14:paraId="5EA67B48" w14:textId="77777777" w:rsidR="00026A96" w:rsidRDefault="00026A96" w:rsidP="00FF0FAD">
            <w:pPr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Dozent</w:t>
            </w:r>
          </w:p>
        </w:tc>
        <w:tc>
          <w:tcPr>
            <w:tcW w:w="1560" w:type="dxa"/>
          </w:tcPr>
          <w:p w14:paraId="33D46CC6" w14:textId="77777777" w:rsidR="00026A96" w:rsidRPr="00DB6F3D" w:rsidRDefault="00026A96" w:rsidP="00FF0FAD">
            <w:pPr>
              <w:rPr>
                <w:rFonts w:cstheme="minorHAnsi"/>
                <w:b/>
                <w:lang w:val="de-DE"/>
              </w:rPr>
            </w:pPr>
            <w:r>
              <w:rPr>
                <w:rFonts w:cstheme="minorHAnsi"/>
                <w:b/>
                <w:lang w:val="de-DE"/>
              </w:rPr>
              <w:t>Literatur zur Vorbereitung</w:t>
            </w:r>
          </w:p>
        </w:tc>
        <w:tc>
          <w:tcPr>
            <w:tcW w:w="2171" w:type="dxa"/>
          </w:tcPr>
          <w:p w14:paraId="775DA5D1" w14:textId="77777777" w:rsidR="00026A96" w:rsidRPr="00DB6F3D" w:rsidRDefault="00026A96" w:rsidP="00FF0FAD">
            <w:pPr>
              <w:rPr>
                <w:rFonts w:cstheme="minorHAnsi"/>
                <w:b/>
                <w:lang w:val="de-DE"/>
              </w:rPr>
            </w:pPr>
            <w:r w:rsidRPr="00DB6F3D">
              <w:rPr>
                <w:rFonts w:cstheme="minorHAnsi"/>
                <w:b/>
                <w:lang w:val="de-DE"/>
              </w:rPr>
              <w:t>Literatur</w:t>
            </w:r>
            <w:r>
              <w:rPr>
                <w:rFonts w:cstheme="minorHAnsi"/>
                <w:b/>
                <w:lang w:val="de-DE"/>
              </w:rPr>
              <w:t xml:space="preserve"> zur Nachbereitung</w:t>
            </w:r>
          </w:p>
        </w:tc>
      </w:tr>
      <w:tr w:rsidR="00026A96" w:rsidRPr="00771937" w14:paraId="203F135B" w14:textId="77777777" w:rsidTr="00E808CA">
        <w:tc>
          <w:tcPr>
            <w:tcW w:w="1440" w:type="dxa"/>
          </w:tcPr>
          <w:p w14:paraId="04E2D869" w14:textId="77777777" w:rsidR="00026A96" w:rsidRPr="00DB6F3D" w:rsidRDefault="00B1401C" w:rsidP="00B1401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Fr</w:t>
            </w:r>
            <w:r w:rsidR="00026A96">
              <w:rPr>
                <w:rFonts w:cstheme="minorHAnsi"/>
                <w:lang w:val="en-GB"/>
              </w:rPr>
              <w:t xml:space="preserve">, </w:t>
            </w:r>
            <w:r>
              <w:rPr>
                <w:rFonts w:cstheme="minorHAnsi"/>
                <w:lang w:val="en-GB"/>
              </w:rPr>
              <w:t>18</w:t>
            </w:r>
            <w:r w:rsidR="00026A96">
              <w:rPr>
                <w:rFonts w:cstheme="minorHAnsi"/>
                <w:lang w:val="en-GB"/>
              </w:rPr>
              <w:t>.1</w:t>
            </w:r>
            <w:r w:rsidR="003549B6">
              <w:rPr>
                <w:rFonts w:cstheme="minorHAnsi"/>
                <w:lang w:val="en-GB"/>
              </w:rPr>
              <w:t>0</w:t>
            </w:r>
            <w:r w:rsidR="00026A96">
              <w:rPr>
                <w:rFonts w:cstheme="minorHAnsi"/>
                <w:lang w:val="en-GB"/>
              </w:rPr>
              <w:t>.201</w:t>
            </w:r>
            <w:r w:rsidR="00187999">
              <w:rPr>
                <w:rFonts w:cstheme="minorHAnsi"/>
                <w:lang w:val="en-GB"/>
              </w:rPr>
              <w:t>9</w:t>
            </w:r>
          </w:p>
        </w:tc>
        <w:tc>
          <w:tcPr>
            <w:tcW w:w="3233" w:type="dxa"/>
          </w:tcPr>
          <w:p w14:paraId="0D94F0B1" w14:textId="77777777" w:rsidR="00026A96" w:rsidRDefault="00026A96" w:rsidP="00D35DFD">
            <w:pPr>
              <w:rPr>
                <w:rFonts w:cstheme="minorHAnsi"/>
                <w:lang w:val="de-DE"/>
              </w:rPr>
            </w:pPr>
            <w:r w:rsidRPr="00DB6F3D">
              <w:rPr>
                <w:rFonts w:cstheme="minorHAnsi"/>
                <w:lang w:val="de-DE"/>
              </w:rPr>
              <w:t xml:space="preserve">Organisatorisches; Vorstellung des Lehrstuhls; Quantitative Verfahren im </w:t>
            </w:r>
            <w:proofErr w:type="spellStart"/>
            <w:r w:rsidRPr="00DB6F3D">
              <w:rPr>
                <w:rFonts w:cstheme="minorHAnsi"/>
                <w:lang w:val="de-DE"/>
              </w:rPr>
              <w:t>Operations</w:t>
            </w:r>
            <w:proofErr w:type="spellEnd"/>
            <w:r w:rsidRPr="00DB6F3D">
              <w:rPr>
                <w:rFonts w:cstheme="minorHAnsi"/>
                <w:lang w:val="de-DE"/>
              </w:rPr>
              <w:t xml:space="preserve"> Management</w:t>
            </w:r>
            <w:r>
              <w:rPr>
                <w:rFonts w:cstheme="minorHAnsi"/>
                <w:lang w:val="de-DE"/>
              </w:rPr>
              <w:t xml:space="preserve">; </w:t>
            </w:r>
            <w:r w:rsidRPr="00DB6F3D">
              <w:rPr>
                <w:rFonts w:cstheme="minorHAnsi"/>
                <w:lang w:val="de-DE"/>
              </w:rPr>
              <w:t>Monte-Carlo-Simulation: Nachfrageszenarien</w:t>
            </w:r>
          </w:p>
          <w:p w14:paraId="25E260C9" w14:textId="77777777" w:rsidR="00B1401C" w:rsidRDefault="00B1401C" w:rsidP="00D35DFD">
            <w:pPr>
              <w:rPr>
                <w:rFonts w:cstheme="minorHAnsi"/>
                <w:lang w:val="de-DE"/>
              </w:rPr>
            </w:pPr>
          </w:p>
          <w:p w14:paraId="78A7D87B" w14:textId="3753711B" w:rsidR="00B1401C" w:rsidRPr="00171EB4" w:rsidRDefault="00B1401C" w:rsidP="00D35DFD">
            <w:pPr>
              <w:rPr>
                <w:rFonts w:cstheme="minorHAnsi"/>
                <w:i/>
                <w:iCs/>
                <w:lang w:val="de-DE"/>
              </w:rPr>
            </w:pPr>
            <w:r w:rsidRPr="008243E3">
              <w:rPr>
                <w:rFonts w:cstheme="minorHAnsi"/>
                <w:i/>
                <w:iCs/>
                <w:lang w:val="de-DE"/>
              </w:rPr>
              <w:t>Gastvortrag</w:t>
            </w:r>
            <w:r w:rsidR="008243E3" w:rsidRPr="008243E3">
              <w:rPr>
                <w:rFonts w:cstheme="minorHAnsi"/>
                <w:i/>
                <w:iCs/>
                <w:lang w:val="de-DE"/>
              </w:rPr>
              <w:t>:</w:t>
            </w:r>
            <w:r w:rsidR="008243E3">
              <w:rPr>
                <w:rFonts w:cstheme="minorHAnsi"/>
                <w:i/>
                <w:iCs/>
                <w:lang w:val="de-DE"/>
              </w:rPr>
              <w:t xml:space="preserve"> Wolfgang Kern, Audi AG – Simulation von Produktionsprozessen bei Audi</w:t>
            </w:r>
          </w:p>
        </w:tc>
        <w:tc>
          <w:tcPr>
            <w:tcW w:w="992" w:type="dxa"/>
          </w:tcPr>
          <w:p w14:paraId="5A28E23D" w14:textId="77777777" w:rsidR="00026A96" w:rsidRPr="00017EA5" w:rsidRDefault="00026A96" w:rsidP="00D35DFD">
            <w:pPr>
              <w:rPr>
                <w:rFonts w:cstheme="minorHAnsi"/>
                <w:highlight w:val="yellow"/>
                <w:lang w:val="de-DE"/>
              </w:rPr>
            </w:pPr>
            <w:r w:rsidRPr="00017EA5">
              <w:rPr>
                <w:rFonts w:cstheme="minorHAnsi"/>
                <w:lang w:val="de-DE"/>
              </w:rPr>
              <w:t>Größler</w:t>
            </w:r>
          </w:p>
        </w:tc>
        <w:tc>
          <w:tcPr>
            <w:tcW w:w="1560" w:type="dxa"/>
          </w:tcPr>
          <w:p w14:paraId="6D7C2C3A" w14:textId="77777777" w:rsidR="00026A96" w:rsidRPr="004B4C85" w:rsidRDefault="00026A96" w:rsidP="00D35DFD">
            <w:pPr>
              <w:rPr>
                <w:rFonts w:cstheme="minorHAnsi"/>
                <w:lang w:val="de-DE"/>
              </w:rPr>
            </w:pPr>
          </w:p>
        </w:tc>
        <w:tc>
          <w:tcPr>
            <w:tcW w:w="2171" w:type="dxa"/>
          </w:tcPr>
          <w:p w14:paraId="4FB9A6C1" w14:textId="77777777" w:rsidR="00026A96" w:rsidRPr="00EE03F8" w:rsidRDefault="00026A96" w:rsidP="00D35DFD">
            <w:pPr>
              <w:rPr>
                <w:rFonts w:cstheme="minorHAnsi"/>
                <w:lang w:val="de-DE"/>
              </w:rPr>
            </w:pPr>
            <w:proofErr w:type="spellStart"/>
            <w:r w:rsidRPr="00EE03F8">
              <w:rPr>
                <w:rFonts w:cstheme="minorHAnsi"/>
                <w:lang w:val="de-DE"/>
              </w:rPr>
              <w:t>Helber</w:t>
            </w:r>
            <w:proofErr w:type="spellEnd"/>
            <w:r w:rsidRPr="00EE03F8">
              <w:rPr>
                <w:rFonts w:cstheme="minorHAnsi"/>
                <w:lang w:val="de-DE"/>
              </w:rPr>
              <w:t xml:space="preserve">, Kap. 1; </w:t>
            </w:r>
            <w:proofErr w:type="spellStart"/>
            <w:r w:rsidRPr="00EE03F8">
              <w:rPr>
                <w:rFonts w:cstheme="minorHAnsi"/>
                <w:lang w:val="de-DE"/>
              </w:rPr>
              <w:t>Pidd</w:t>
            </w:r>
            <w:proofErr w:type="spellEnd"/>
            <w:r w:rsidRPr="00EE03F8">
              <w:rPr>
                <w:rFonts w:cstheme="minorHAnsi"/>
                <w:lang w:val="de-DE"/>
              </w:rPr>
              <w:t xml:space="preserve">, Kap. </w:t>
            </w:r>
            <w:r>
              <w:rPr>
                <w:rFonts w:cstheme="minorHAnsi"/>
                <w:lang w:val="de-DE"/>
              </w:rPr>
              <w:t>1-4; Taha, Kap. 19.1-19.4</w:t>
            </w:r>
          </w:p>
        </w:tc>
      </w:tr>
      <w:tr w:rsidR="00017EA5" w:rsidRPr="00771937" w14:paraId="075039FE" w14:textId="77777777" w:rsidTr="00E808CA">
        <w:tc>
          <w:tcPr>
            <w:tcW w:w="1440" w:type="dxa"/>
          </w:tcPr>
          <w:p w14:paraId="2ED64A59" w14:textId="77777777" w:rsidR="00017EA5" w:rsidRPr="004E796A" w:rsidRDefault="00017EA5" w:rsidP="00187999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Fr, 2</w:t>
            </w:r>
            <w:r w:rsidR="00187999">
              <w:rPr>
                <w:rFonts w:cstheme="minorHAnsi"/>
                <w:lang w:val="de-DE"/>
              </w:rPr>
              <w:t>5</w:t>
            </w:r>
            <w:r w:rsidRPr="004E796A">
              <w:rPr>
                <w:rFonts w:cstheme="minorHAnsi"/>
                <w:lang w:val="de-DE"/>
              </w:rPr>
              <w:t>.1</w:t>
            </w:r>
            <w:r>
              <w:rPr>
                <w:rFonts w:cstheme="minorHAnsi"/>
                <w:lang w:val="de-DE"/>
              </w:rPr>
              <w:t>0</w:t>
            </w:r>
            <w:r w:rsidRPr="004E796A">
              <w:rPr>
                <w:rFonts w:cstheme="minorHAnsi"/>
                <w:lang w:val="de-DE"/>
              </w:rPr>
              <w:t>.201</w:t>
            </w:r>
            <w:r w:rsidR="00187999">
              <w:rPr>
                <w:rFonts w:cstheme="minorHAnsi"/>
                <w:lang w:val="de-DE"/>
              </w:rPr>
              <w:t>9</w:t>
            </w:r>
          </w:p>
        </w:tc>
        <w:tc>
          <w:tcPr>
            <w:tcW w:w="3233" w:type="dxa"/>
          </w:tcPr>
          <w:p w14:paraId="6DEF0C53" w14:textId="77777777" w:rsidR="00017EA5" w:rsidRPr="00DB6F3D" w:rsidRDefault="00187999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Entscheidungstheorie: Investitionen, Lieferantenauswahl</w:t>
            </w:r>
          </w:p>
        </w:tc>
        <w:tc>
          <w:tcPr>
            <w:tcW w:w="992" w:type="dxa"/>
          </w:tcPr>
          <w:p w14:paraId="06B8BDBF" w14:textId="77777777" w:rsidR="00017EA5" w:rsidRPr="00B03141" w:rsidRDefault="00187999" w:rsidP="00187999">
            <w:pPr>
              <w:rPr>
                <w:rFonts w:cstheme="minorHAnsi"/>
                <w:lang w:val="de-DE"/>
              </w:rPr>
            </w:pPr>
            <w:proofErr w:type="spellStart"/>
            <w:r w:rsidRPr="00B03141">
              <w:rPr>
                <w:rFonts w:cstheme="minorHAnsi"/>
                <w:lang w:val="de-DE"/>
              </w:rPr>
              <w:t>Ðula</w:t>
            </w:r>
            <w:proofErr w:type="spellEnd"/>
            <w:r w:rsidRPr="00B03141"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1560" w:type="dxa"/>
          </w:tcPr>
          <w:p w14:paraId="785409F2" w14:textId="77777777" w:rsidR="00017EA5" w:rsidRPr="00DB6F3D" w:rsidRDefault="00187999" w:rsidP="00187999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French et al., Kap. 1 </w:t>
            </w:r>
          </w:p>
        </w:tc>
        <w:tc>
          <w:tcPr>
            <w:tcW w:w="2171" w:type="dxa"/>
          </w:tcPr>
          <w:p w14:paraId="4B0E86A5" w14:textId="77777777" w:rsidR="00017EA5" w:rsidRPr="00DB6F3D" w:rsidRDefault="00187999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French et al., Kap. 3, 7; </w:t>
            </w:r>
            <w:proofErr w:type="spellStart"/>
            <w:r>
              <w:rPr>
                <w:rFonts w:cstheme="minorHAnsi"/>
                <w:lang w:val="de-DE"/>
              </w:rPr>
              <w:t>Pidd</w:t>
            </w:r>
            <w:proofErr w:type="spellEnd"/>
            <w:r>
              <w:rPr>
                <w:rFonts w:cstheme="minorHAnsi"/>
                <w:lang w:val="de-DE"/>
              </w:rPr>
              <w:t>, Kap. 8; Kummer et al., Kap. 10; Taha, Kap. 15</w:t>
            </w:r>
          </w:p>
        </w:tc>
      </w:tr>
      <w:tr w:rsidR="00017EA5" w:rsidRPr="00771937" w14:paraId="2498C496" w14:textId="77777777" w:rsidTr="00E808CA">
        <w:tc>
          <w:tcPr>
            <w:tcW w:w="1440" w:type="dxa"/>
          </w:tcPr>
          <w:p w14:paraId="2BCD74C8" w14:textId="77777777" w:rsidR="00017EA5" w:rsidRPr="00AC23E8" w:rsidRDefault="00017EA5" w:rsidP="00017EA5">
            <w:pPr>
              <w:rPr>
                <w:rFonts w:cstheme="minorHAnsi"/>
                <w:lang w:val="de-DE"/>
              </w:rPr>
            </w:pPr>
            <w:r w:rsidRPr="00AC23E8">
              <w:rPr>
                <w:rFonts w:cstheme="minorHAnsi"/>
                <w:lang w:val="de-DE"/>
              </w:rPr>
              <w:t xml:space="preserve">Fr, </w:t>
            </w:r>
            <w:r w:rsidR="00187999">
              <w:rPr>
                <w:rFonts w:cstheme="minorHAnsi"/>
                <w:lang w:val="de-DE"/>
              </w:rPr>
              <w:t>08</w:t>
            </w:r>
            <w:r w:rsidRPr="00AC23E8">
              <w:rPr>
                <w:rFonts w:cstheme="minorHAnsi"/>
                <w:lang w:val="de-DE"/>
              </w:rPr>
              <w:t>.11.201</w:t>
            </w:r>
            <w:r w:rsidR="00187999">
              <w:rPr>
                <w:rFonts w:cstheme="minorHAnsi"/>
                <w:lang w:val="de-DE"/>
              </w:rPr>
              <w:t>9</w:t>
            </w:r>
          </w:p>
        </w:tc>
        <w:tc>
          <w:tcPr>
            <w:tcW w:w="3233" w:type="dxa"/>
          </w:tcPr>
          <w:p w14:paraId="0405D648" w14:textId="77777777" w:rsidR="00017EA5" w:rsidRPr="00DB6F3D" w:rsidRDefault="00187999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Warteschlangen und Verteilungsfunktionen in Excel: Prozessanalysen; Kapazitätssteuerung; Bestandsmanagement</w:t>
            </w:r>
          </w:p>
        </w:tc>
        <w:tc>
          <w:tcPr>
            <w:tcW w:w="992" w:type="dxa"/>
          </w:tcPr>
          <w:p w14:paraId="6EFA2F6B" w14:textId="77777777" w:rsidR="00017EA5" w:rsidRPr="00B03141" w:rsidRDefault="00187999" w:rsidP="00017EA5">
            <w:pPr>
              <w:rPr>
                <w:rFonts w:cstheme="minorHAnsi"/>
                <w:lang w:val="de-DE"/>
              </w:rPr>
            </w:pPr>
            <w:r w:rsidRPr="00B03141">
              <w:rPr>
                <w:rFonts w:cstheme="minorHAnsi"/>
                <w:lang w:val="de-DE"/>
              </w:rPr>
              <w:t>Größler</w:t>
            </w:r>
          </w:p>
        </w:tc>
        <w:tc>
          <w:tcPr>
            <w:tcW w:w="1560" w:type="dxa"/>
          </w:tcPr>
          <w:p w14:paraId="0EF9FC9B" w14:textId="77777777" w:rsidR="00017EA5" w:rsidRPr="00DB6F3D" w:rsidRDefault="00187999" w:rsidP="00017EA5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Cachon</w:t>
            </w:r>
            <w:proofErr w:type="spellEnd"/>
            <w:r>
              <w:rPr>
                <w:rFonts w:cstheme="minorHAnsi"/>
                <w:lang w:val="de-DE"/>
              </w:rPr>
              <w:t>&amp;</w:t>
            </w:r>
            <w:r>
              <w:rPr>
                <w:rFonts w:cstheme="minorHAnsi"/>
                <w:lang w:val="de-DE"/>
              </w:rPr>
              <w:br/>
            </w:r>
            <w:proofErr w:type="spellStart"/>
            <w:r>
              <w:rPr>
                <w:rFonts w:cstheme="minorHAnsi"/>
                <w:lang w:val="de-DE"/>
              </w:rPr>
              <w:t>Terwiesch</w:t>
            </w:r>
            <w:proofErr w:type="spellEnd"/>
            <w:r>
              <w:rPr>
                <w:rFonts w:cstheme="minorHAnsi"/>
                <w:lang w:val="de-DE"/>
              </w:rPr>
              <w:t>, Kap. 2</w:t>
            </w:r>
          </w:p>
        </w:tc>
        <w:tc>
          <w:tcPr>
            <w:tcW w:w="2171" w:type="dxa"/>
          </w:tcPr>
          <w:p w14:paraId="275C8CF8" w14:textId="77777777" w:rsidR="00017EA5" w:rsidRPr="00DB6F3D" w:rsidRDefault="00187999" w:rsidP="00017EA5">
            <w:pPr>
              <w:rPr>
                <w:rFonts w:cstheme="minorHAnsi"/>
                <w:lang w:val="de-DE"/>
              </w:rPr>
            </w:pPr>
            <w:proofErr w:type="spellStart"/>
            <w:r w:rsidRPr="00DB6F3D">
              <w:rPr>
                <w:rFonts w:cstheme="minorHAnsi"/>
                <w:lang w:val="de-DE"/>
              </w:rPr>
              <w:t>Helber</w:t>
            </w:r>
            <w:proofErr w:type="spellEnd"/>
            <w:r w:rsidRPr="00DB6F3D">
              <w:rPr>
                <w:rFonts w:cstheme="minorHAnsi"/>
                <w:lang w:val="de-DE"/>
              </w:rPr>
              <w:t xml:space="preserve">, Kap. </w:t>
            </w:r>
            <w:r>
              <w:rPr>
                <w:rFonts w:cstheme="minorHAnsi"/>
                <w:lang w:val="de-DE"/>
              </w:rPr>
              <w:t xml:space="preserve">2-3, 5.3, 6-7; Taha, Kap. 13, 18; </w:t>
            </w:r>
            <w:proofErr w:type="spellStart"/>
            <w:r>
              <w:rPr>
                <w:rFonts w:cstheme="minorHAnsi"/>
                <w:lang w:val="de-DE"/>
              </w:rPr>
              <w:t>Thonemann</w:t>
            </w:r>
            <w:proofErr w:type="spellEnd"/>
            <w:r>
              <w:rPr>
                <w:rFonts w:cstheme="minorHAnsi"/>
                <w:lang w:val="de-DE"/>
              </w:rPr>
              <w:t>, Kap. 11.1</w:t>
            </w:r>
          </w:p>
        </w:tc>
      </w:tr>
      <w:tr w:rsidR="00017EA5" w:rsidRPr="00771937" w14:paraId="318E8840" w14:textId="77777777" w:rsidTr="00E808CA">
        <w:tc>
          <w:tcPr>
            <w:tcW w:w="1440" w:type="dxa"/>
          </w:tcPr>
          <w:p w14:paraId="13BA74B4" w14:textId="77777777" w:rsidR="00017EA5" w:rsidRPr="00645861" w:rsidRDefault="00187999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Fr, 15.11.2019</w:t>
            </w:r>
          </w:p>
        </w:tc>
        <w:tc>
          <w:tcPr>
            <w:tcW w:w="3233" w:type="dxa"/>
          </w:tcPr>
          <w:p w14:paraId="731BD86E" w14:textId="2A18F04E" w:rsidR="00017EA5" w:rsidRPr="001709CA" w:rsidRDefault="00771937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Diskrete ereignisbasierte Simulation mit Arena: Produktionsabläufe</w:t>
            </w:r>
          </w:p>
        </w:tc>
        <w:tc>
          <w:tcPr>
            <w:tcW w:w="992" w:type="dxa"/>
          </w:tcPr>
          <w:p w14:paraId="0E4AF943" w14:textId="09B62BD6" w:rsidR="00017EA5" w:rsidRPr="00B03141" w:rsidRDefault="00771937" w:rsidP="00771937">
            <w:pPr>
              <w:rPr>
                <w:rFonts w:cstheme="minorHAnsi"/>
                <w:lang w:val="de-DE"/>
              </w:rPr>
            </w:pPr>
            <w:r w:rsidRPr="00B03141">
              <w:rPr>
                <w:rFonts w:cstheme="minorHAnsi"/>
                <w:lang w:val="de-DE"/>
              </w:rPr>
              <w:t>Größler</w:t>
            </w:r>
            <w:r w:rsidRPr="00B03141"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1560" w:type="dxa"/>
          </w:tcPr>
          <w:p w14:paraId="6D493835" w14:textId="6DE6624C" w:rsidR="00017EA5" w:rsidRPr="001709CA" w:rsidRDefault="00771937" w:rsidP="00017EA5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Kelton</w:t>
            </w:r>
            <w:proofErr w:type="spellEnd"/>
            <w:r>
              <w:rPr>
                <w:rFonts w:cstheme="minorHAnsi"/>
                <w:lang w:val="de-DE"/>
              </w:rPr>
              <w:t xml:space="preserve"> et al., Kap. 1</w:t>
            </w:r>
          </w:p>
        </w:tc>
        <w:tc>
          <w:tcPr>
            <w:tcW w:w="2171" w:type="dxa"/>
          </w:tcPr>
          <w:p w14:paraId="2CFE444A" w14:textId="7299CA69" w:rsidR="00017EA5" w:rsidRPr="001709CA" w:rsidRDefault="00771937" w:rsidP="00017EA5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Kelton</w:t>
            </w:r>
            <w:proofErr w:type="spellEnd"/>
            <w:r>
              <w:rPr>
                <w:rFonts w:cstheme="minorHAnsi"/>
                <w:lang w:val="de-DE"/>
              </w:rPr>
              <w:t xml:space="preserve"> et al., Kap. 2-4; </w:t>
            </w:r>
            <w:proofErr w:type="spellStart"/>
            <w:r>
              <w:rPr>
                <w:rFonts w:cstheme="minorHAnsi"/>
                <w:lang w:val="de-DE"/>
              </w:rPr>
              <w:t>Pidd</w:t>
            </w:r>
            <w:proofErr w:type="spellEnd"/>
            <w:r>
              <w:rPr>
                <w:rFonts w:cstheme="minorHAnsi"/>
                <w:lang w:val="de-DE"/>
              </w:rPr>
              <w:t>, Kap. 10; Taha, 19.5-19.7</w:t>
            </w:r>
          </w:p>
        </w:tc>
      </w:tr>
      <w:tr w:rsidR="00017EA5" w:rsidRPr="00771937" w14:paraId="03AE6D54" w14:textId="77777777" w:rsidTr="00E808CA">
        <w:tc>
          <w:tcPr>
            <w:tcW w:w="1440" w:type="dxa"/>
          </w:tcPr>
          <w:p w14:paraId="440DD006" w14:textId="77777777" w:rsidR="00017EA5" w:rsidRPr="00DB6F3D" w:rsidRDefault="00187999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Fr, 22.11.2019</w:t>
            </w:r>
          </w:p>
        </w:tc>
        <w:tc>
          <w:tcPr>
            <w:tcW w:w="3233" w:type="dxa"/>
          </w:tcPr>
          <w:p w14:paraId="60F248AD" w14:textId="77777777" w:rsidR="00017EA5" w:rsidRPr="00A43B63" w:rsidRDefault="00017EA5" w:rsidP="00017EA5">
            <w:pPr>
              <w:rPr>
                <w:rFonts w:cstheme="minorHAnsi"/>
                <w:i/>
                <w:lang w:val="de-DE"/>
              </w:rPr>
            </w:pPr>
            <w:r>
              <w:rPr>
                <w:rFonts w:cstheme="minorHAnsi"/>
                <w:i/>
                <w:lang w:val="de-DE"/>
              </w:rPr>
              <w:t>Zwischentest</w:t>
            </w:r>
          </w:p>
          <w:p w14:paraId="49DAEE29" w14:textId="661E0E56" w:rsidR="00017EA5" w:rsidRPr="00DB6F3D" w:rsidRDefault="00771937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Lineare Programmierung mit Excel: Programmplanung; </w:t>
            </w:r>
            <w:r w:rsidRPr="00DB6F3D">
              <w:rPr>
                <w:rFonts w:cstheme="minorHAnsi"/>
                <w:lang w:val="de-DE"/>
              </w:rPr>
              <w:t>Annahme von Aufträgen und Buchungen</w:t>
            </w:r>
            <w:r>
              <w:rPr>
                <w:rFonts w:cstheme="minorHAnsi"/>
                <w:lang w:val="de-DE"/>
              </w:rPr>
              <w:t xml:space="preserve">; Losgrößenplanung; Ablaufplanung; Standortplanung; </w:t>
            </w:r>
            <w:proofErr w:type="spellStart"/>
            <w:r>
              <w:rPr>
                <w:rFonts w:cstheme="minorHAnsi"/>
                <w:lang w:val="de-DE"/>
              </w:rPr>
              <w:t>Layoutplanung</w:t>
            </w:r>
            <w:proofErr w:type="spellEnd"/>
          </w:p>
        </w:tc>
        <w:tc>
          <w:tcPr>
            <w:tcW w:w="992" w:type="dxa"/>
          </w:tcPr>
          <w:p w14:paraId="6EEF8883" w14:textId="77777777" w:rsidR="00017EA5" w:rsidRPr="00B03141" w:rsidRDefault="00017EA5" w:rsidP="00017EA5">
            <w:pPr>
              <w:rPr>
                <w:rFonts w:cstheme="minorHAnsi"/>
                <w:lang w:val="de-DE"/>
              </w:rPr>
            </w:pPr>
          </w:p>
          <w:p w14:paraId="7654FFD3" w14:textId="2CBC6B1D" w:rsidR="00017EA5" w:rsidRPr="00B03141" w:rsidRDefault="00771937" w:rsidP="00017EA5">
            <w:pPr>
              <w:rPr>
                <w:rFonts w:cstheme="minorHAnsi"/>
                <w:lang w:val="de-DE"/>
              </w:rPr>
            </w:pPr>
            <w:proofErr w:type="spellStart"/>
            <w:r w:rsidRPr="00B03141">
              <w:rPr>
                <w:rFonts w:cstheme="minorHAnsi"/>
                <w:lang w:val="de-DE"/>
              </w:rPr>
              <w:t>Ðula</w:t>
            </w:r>
            <w:proofErr w:type="spellEnd"/>
          </w:p>
        </w:tc>
        <w:tc>
          <w:tcPr>
            <w:tcW w:w="1560" w:type="dxa"/>
          </w:tcPr>
          <w:p w14:paraId="35E733C5" w14:textId="77777777" w:rsidR="00017EA5" w:rsidRDefault="00017EA5" w:rsidP="00017EA5">
            <w:pPr>
              <w:rPr>
                <w:rFonts w:cstheme="minorHAnsi"/>
                <w:lang w:val="de-DE"/>
              </w:rPr>
            </w:pPr>
          </w:p>
          <w:p w14:paraId="01B9D89F" w14:textId="0EA86990" w:rsidR="00017EA5" w:rsidRPr="00DB6F3D" w:rsidRDefault="00771937" w:rsidP="00017EA5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Bloech</w:t>
            </w:r>
            <w:proofErr w:type="spellEnd"/>
            <w:r>
              <w:rPr>
                <w:rFonts w:cstheme="minorHAnsi"/>
                <w:lang w:val="de-DE"/>
              </w:rPr>
              <w:t xml:space="preserve"> et al., Kap. 4.4.3</w:t>
            </w:r>
          </w:p>
        </w:tc>
        <w:tc>
          <w:tcPr>
            <w:tcW w:w="2171" w:type="dxa"/>
          </w:tcPr>
          <w:p w14:paraId="51B80D40" w14:textId="77777777" w:rsidR="00017EA5" w:rsidRDefault="00017EA5" w:rsidP="00017EA5">
            <w:pPr>
              <w:rPr>
                <w:rFonts w:cstheme="minorHAnsi"/>
                <w:lang w:val="de-DE"/>
              </w:rPr>
            </w:pPr>
          </w:p>
          <w:p w14:paraId="1CE120A7" w14:textId="58B6A9B8" w:rsidR="00017EA5" w:rsidRPr="00DB6F3D" w:rsidRDefault="00771937" w:rsidP="00017EA5">
            <w:pPr>
              <w:rPr>
                <w:rFonts w:cstheme="minorHAnsi"/>
                <w:lang w:val="de-DE"/>
              </w:rPr>
            </w:pPr>
            <w:proofErr w:type="spellStart"/>
            <w:r w:rsidRPr="00DB6F3D">
              <w:rPr>
                <w:rFonts w:cstheme="minorHAnsi"/>
                <w:lang w:val="de-DE"/>
              </w:rPr>
              <w:t>Helber</w:t>
            </w:r>
            <w:proofErr w:type="spellEnd"/>
            <w:r w:rsidRPr="00DB6F3D">
              <w:rPr>
                <w:rFonts w:cstheme="minorHAnsi"/>
                <w:lang w:val="de-DE"/>
              </w:rPr>
              <w:t xml:space="preserve">, Kap. </w:t>
            </w:r>
            <w:r>
              <w:rPr>
                <w:rFonts w:cstheme="minorHAnsi"/>
                <w:lang w:val="de-DE"/>
              </w:rPr>
              <w:t xml:space="preserve">4-5.2, 8-9, 13-14; </w:t>
            </w:r>
            <w:proofErr w:type="spellStart"/>
            <w:r>
              <w:rPr>
                <w:rFonts w:cstheme="minorHAnsi"/>
                <w:lang w:val="de-DE"/>
              </w:rPr>
              <w:t>Pidd</w:t>
            </w:r>
            <w:proofErr w:type="spellEnd"/>
            <w:r>
              <w:rPr>
                <w:rFonts w:cstheme="minorHAnsi"/>
                <w:lang w:val="de-DE"/>
              </w:rPr>
              <w:t xml:space="preserve">, Kap. 9; Taha, Kap. 2-3; </w:t>
            </w:r>
            <w:proofErr w:type="spellStart"/>
            <w:r>
              <w:rPr>
                <w:rFonts w:cstheme="minorHAnsi"/>
                <w:lang w:val="de-DE"/>
              </w:rPr>
              <w:t>Thonemann</w:t>
            </w:r>
            <w:proofErr w:type="spellEnd"/>
            <w:r>
              <w:rPr>
                <w:rFonts w:cstheme="minorHAnsi"/>
                <w:lang w:val="de-DE"/>
              </w:rPr>
              <w:t>, Kap. 11.2</w:t>
            </w:r>
          </w:p>
        </w:tc>
      </w:tr>
      <w:tr w:rsidR="00017EA5" w:rsidRPr="004E796A" w14:paraId="1713ED46" w14:textId="77777777" w:rsidTr="00E808CA">
        <w:tc>
          <w:tcPr>
            <w:tcW w:w="1440" w:type="dxa"/>
          </w:tcPr>
          <w:p w14:paraId="55A4EE01" w14:textId="77777777" w:rsidR="00017EA5" w:rsidRPr="00DB6F3D" w:rsidRDefault="00187999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Fr, 29.11.2019</w:t>
            </w:r>
          </w:p>
        </w:tc>
        <w:tc>
          <w:tcPr>
            <w:tcW w:w="3233" w:type="dxa"/>
          </w:tcPr>
          <w:p w14:paraId="334B88EF" w14:textId="77777777" w:rsidR="00017EA5" w:rsidRPr="00DB6F3D" w:rsidRDefault="00017EA5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Agentenbasierte</w:t>
            </w:r>
            <w:r w:rsidRPr="00DB6F3D">
              <w:rPr>
                <w:rFonts w:cstheme="minorHAnsi"/>
                <w:lang w:val="de-DE"/>
              </w:rPr>
              <w:t xml:space="preserve"> Simulation</w:t>
            </w:r>
            <w:r>
              <w:rPr>
                <w:rFonts w:cstheme="minorHAnsi"/>
                <w:lang w:val="de-DE"/>
              </w:rPr>
              <w:t xml:space="preserve"> mit </w:t>
            </w:r>
            <w:proofErr w:type="spellStart"/>
            <w:r>
              <w:rPr>
                <w:rFonts w:cstheme="minorHAnsi"/>
                <w:lang w:val="de-DE"/>
              </w:rPr>
              <w:t>Netlogo</w:t>
            </w:r>
            <w:proofErr w:type="spellEnd"/>
            <w:r w:rsidRPr="00DB6F3D">
              <w:rPr>
                <w:rFonts w:cstheme="minorHAnsi"/>
                <w:lang w:val="de-DE"/>
              </w:rPr>
              <w:t>: Produktdiffusion</w:t>
            </w:r>
          </w:p>
        </w:tc>
        <w:tc>
          <w:tcPr>
            <w:tcW w:w="992" w:type="dxa"/>
          </w:tcPr>
          <w:p w14:paraId="73D11A3A" w14:textId="77777777" w:rsidR="00017EA5" w:rsidRPr="00B03141" w:rsidRDefault="00017EA5" w:rsidP="00017EA5">
            <w:pPr>
              <w:rPr>
                <w:rFonts w:cstheme="minorHAnsi"/>
                <w:lang w:val="de-DE"/>
              </w:rPr>
            </w:pPr>
            <w:r w:rsidRPr="00B03141">
              <w:rPr>
                <w:rFonts w:cstheme="minorHAnsi"/>
                <w:lang w:val="de-DE"/>
              </w:rPr>
              <w:t>Brauch</w:t>
            </w:r>
          </w:p>
        </w:tc>
        <w:tc>
          <w:tcPr>
            <w:tcW w:w="1560" w:type="dxa"/>
          </w:tcPr>
          <w:p w14:paraId="37E8285E" w14:textId="77777777" w:rsidR="00017EA5" w:rsidRPr="00DB6F3D" w:rsidRDefault="00017EA5" w:rsidP="00017EA5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Wilensky</w:t>
            </w:r>
            <w:proofErr w:type="spellEnd"/>
            <w:r>
              <w:rPr>
                <w:rFonts w:cstheme="minorHAnsi"/>
                <w:lang w:val="de-DE"/>
              </w:rPr>
              <w:t>&amp;</w:t>
            </w:r>
            <w:r>
              <w:rPr>
                <w:rFonts w:cstheme="minorHAnsi"/>
                <w:lang w:val="de-DE"/>
              </w:rPr>
              <w:br/>
              <w:t>Rand, Kap. 0</w:t>
            </w:r>
          </w:p>
        </w:tc>
        <w:tc>
          <w:tcPr>
            <w:tcW w:w="2171" w:type="dxa"/>
          </w:tcPr>
          <w:p w14:paraId="60617D61" w14:textId="77777777" w:rsidR="00017EA5" w:rsidRPr="00DB6F3D" w:rsidRDefault="00017EA5" w:rsidP="00017EA5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Wilensky&amp;Rand</w:t>
            </w:r>
            <w:proofErr w:type="spellEnd"/>
            <w:r>
              <w:rPr>
                <w:rFonts w:cstheme="minorHAnsi"/>
                <w:lang w:val="de-DE"/>
              </w:rPr>
              <w:t>, Kap. 1-4</w:t>
            </w:r>
          </w:p>
        </w:tc>
      </w:tr>
      <w:tr w:rsidR="00017EA5" w:rsidRPr="00F0797C" w14:paraId="75DEBA9F" w14:textId="77777777" w:rsidTr="00E808CA">
        <w:tc>
          <w:tcPr>
            <w:tcW w:w="1440" w:type="dxa"/>
          </w:tcPr>
          <w:p w14:paraId="728253A5" w14:textId="77777777" w:rsidR="00017EA5" w:rsidRPr="00DB6F3D" w:rsidRDefault="00187999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Fr, 06.12.2019</w:t>
            </w:r>
          </w:p>
        </w:tc>
        <w:tc>
          <w:tcPr>
            <w:tcW w:w="3233" w:type="dxa"/>
          </w:tcPr>
          <w:p w14:paraId="0CCFCA25" w14:textId="77777777" w:rsidR="00017EA5" w:rsidRPr="00DB6F3D" w:rsidRDefault="00017EA5" w:rsidP="00017EA5">
            <w:pPr>
              <w:rPr>
                <w:rFonts w:cstheme="minorHAnsi"/>
                <w:lang w:val="de-DE"/>
              </w:rPr>
            </w:pPr>
            <w:r w:rsidRPr="00DB6F3D">
              <w:rPr>
                <w:rFonts w:cstheme="minorHAnsi"/>
                <w:lang w:val="de-DE"/>
              </w:rPr>
              <w:t>System Dynamics</w:t>
            </w:r>
            <w:r>
              <w:rPr>
                <w:rFonts w:cstheme="minorHAnsi"/>
                <w:lang w:val="de-DE"/>
              </w:rPr>
              <w:t xml:space="preserve"> mit Vensim</w:t>
            </w:r>
            <w:r w:rsidRPr="00DB6F3D">
              <w:rPr>
                <w:rFonts w:cstheme="minorHAnsi"/>
                <w:lang w:val="de-DE"/>
              </w:rPr>
              <w:t xml:space="preserve">: </w:t>
            </w:r>
            <w:r>
              <w:rPr>
                <w:rFonts w:cstheme="minorHAnsi"/>
                <w:lang w:val="de-DE"/>
              </w:rPr>
              <w:t xml:space="preserve">Anpassung von </w:t>
            </w:r>
            <w:r w:rsidRPr="00DB6F3D">
              <w:rPr>
                <w:rFonts w:cstheme="minorHAnsi"/>
                <w:lang w:val="de-DE"/>
              </w:rPr>
              <w:t>Produktionskapazitäten</w:t>
            </w:r>
          </w:p>
        </w:tc>
        <w:tc>
          <w:tcPr>
            <w:tcW w:w="992" w:type="dxa"/>
          </w:tcPr>
          <w:p w14:paraId="1A8AA1D2" w14:textId="77777777" w:rsidR="00017EA5" w:rsidRPr="00B03141" w:rsidRDefault="00017EA5" w:rsidP="00017EA5">
            <w:pPr>
              <w:rPr>
                <w:rFonts w:cstheme="minorHAnsi"/>
                <w:lang w:val="de-DE"/>
              </w:rPr>
            </w:pPr>
            <w:r w:rsidRPr="00B03141">
              <w:rPr>
                <w:rFonts w:cstheme="minorHAnsi"/>
                <w:lang w:val="de-DE"/>
              </w:rPr>
              <w:t>Größler</w:t>
            </w:r>
          </w:p>
        </w:tc>
        <w:tc>
          <w:tcPr>
            <w:tcW w:w="1560" w:type="dxa"/>
          </w:tcPr>
          <w:p w14:paraId="536EA77D" w14:textId="77777777" w:rsidR="00017EA5" w:rsidRPr="00DB6F3D" w:rsidRDefault="00017EA5" w:rsidP="00017EA5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Sterman</w:t>
            </w:r>
            <w:proofErr w:type="spellEnd"/>
            <w:r>
              <w:rPr>
                <w:rFonts w:cstheme="minorHAnsi"/>
                <w:lang w:val="de-DE"/>
              </w:rPr>
              <w:t xml:space="preserve">, </w:t>
            </w:r>
            <w:r>
              <w:rPr>
                <w:rFonts w:cstheme="minorHAnsi"/>
                <w:lang w:val="de-DE"/>
              </w:rPr>
              <w:br/>
              <w:t>Kap. 2</w:t>
            </w:r>
          </w:p>
        </w:tc>
        <w:tc>
          <w:tcPr>
            <w:tcW w:w="2171" w:type="dxa"/>
          </w:tcPr>
          <w:p w14:paraId="571C5B13" w14:textId="77777777" w:rsidR="00017EA5" w:rsidRPr="00DB6F3D" w:rsidRDefault="00017EA5" w:rsidP="00017EA5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Sterman</w:t>
            </w:r>
            <w:proofErr w:type="spellEnd"/>
            <w:r>
              <w:rPr>
                <w:rFonts w:cstheme="minorHAnsi"/>
                <w:lang w:val="de-DE"/>
              </w:rPr>
              <w:t xml:space="preserve">, Kap. 6-8; </w:t>
            </w:r>
            <w:proofErr w:type="spellStart"/>
            <w:r>
              <w:rPr>
                <w:rFonts w:cstheme="minorHAnsi"/>
                <w:lang w:val="de-DE"/>
              </w:rPr>
              <w:t>Pidd</w:t>
            </w:r>
            <w:proofErr w:type="spellEnd"/>
            <w:r>
              <w:rPr>
                <w:rFonts w:cstheme="minorHAnsi"/>
                <w:lang w:val="de-DE"/>
              </w:rPr>
              <w:t>, Kap. 7</w:t>
            </w:r>
          </w:p>
        </w:tc>
      </w:tr>
      <w:tr w:rsidR="00017EA5" w:rsidRPr="00771937" w14:paraId="18EE2CB4" w14:textId="77777777" w:rsidTr="00E808CA">
        <w:tc>
          <w:tcPr>
            <w:tcW w:w="1440" w:type="dxa"/>
          </w:tcPr>
          <w:p w14:paraId="7CAA53FA" w14:textId="77777777" w:rsidR="00017EA5" w:rsidRPr="00D727BE" w:rsidRDefault="00017EA5" w:rsidP="00017EA5">
            <w:pPr>
              <w:rPr>
                <w:rFonts w:cstheme="minorHAnsi"/>
                <w:lang w:val="de-DE"/>
              </w:rPr>
            </w:pPr>
            <w:r w:rsidRPr="00D727BE">
              <w:rPr>
                <w:rFonts w:cstheme="minorHAnsi"/>
                <w:lang w:val="de-DE"/>
              </w:rPr>
              <w:t>Fr, 1</w:t>
            </w:r>
            <w:r w:rsidR="00187999">
              <w:rPr>
                <w:rFonts w:cstheme="minorHAnsi"/>
                <w:lang w:val="de-DE"/>
              </w:rPr>
              <w:t>3</w:t>
            </w:r>
            <w:r w:rsidRPr="00D727BE">
              <w:rPr>
                <w:rFonts w:cstheme="minorHAnsi"/>
                <w:lang w:val="de-DE"/>
              </w:rPr>
              <w:t>.</w:t>
            </w:r>
            <w:r>
              <w:rPr>
                <w:rFonts w:cstheme="minorHAnsi"/>
                <w:lang w:val="de-DE"/>
              </w:rPr>
              <w:t>12</w:t>
            </w:r>
            <w:r w:rsidR="00187999">
              <w:rPr>
                <w:rFonts w:cstheme="minorHAnsi"/>
                <w:lang w:val="de-DE"/>
              </w:rPr>
              <w:t>.2019</w:t>
            </w:r>
          </w:p>
        </w:tc>
        <w:tc>
          <w:tcPr>
            <w:tcW w:w="3233" w:type="dxa"/>
          </w:tcPr>
          <w:p w14:paraId="2D64A584" w14:textId="77777777" w:rsidR="00017EA5" w:rsidRPr="001709CA" w:rsidRDefault="00017EA5" w:rsidP="00017EA5">
            <w:pPr>
              <w:rPr>
                <w:rFonts w:cstheme="minorHAnsi"/>
                <w:lang w:val="de-DE"/>
              </w:rPr>
            </w:pPr>
            <w:r w:rsidRPr="001709CA">
              <w:rPr>
                <w:rFonts w:cstheme="minorHAnsi"/>
                <w:lang w:val="de-DE"/>
              </w:rPr>
              <w:t xml:space="preserve">Strategic </w:t>
            </w:r>
            <w:r w:rsidRPr="0093624C">
              <w:rPr>
                <w:rFonts w:cstheme="minorHAnsi"/>
                <w:lang w:val="de-DE"/>
              </w:rPr>
              <w:t xml:space="preserve">Mapping mit </w:t>
            </w:r>
            <w:proofErr w:type="spellStart"/>
            <w:r w:rsidRPr="0093624C">
              <w:rPr>
                <w:rFonts w:cstheme="minorHAnsi"/>
                <w:lang w:val="de-DE"/>
              </w:rPr>
              <w:t>Decision</w:t>
            </w:r>
            <w:proofErr w:type="spellEnd"/>
            <w:r w:rsidRPr="0093624C">
              <w:rPr>
                <w:rFonts w:cstheme="minorHAnsi"/>
                <w:lang w:val="de-DE"/>
              </w:rPr>
              <w:t xml:space="preserve"> Explorer: Produktionsverlagerung in Länder mit niedrigen Arbeitsplatz- und Umweltstandards</w:t>
            </w:r>
          </w:p>
        </w:tc>
        <w:tc>
          <w:tcPr>
            <w:tcW w:w="992" w:type="dxa"/>
          </w:tcPr>
          <w:p w14:paraId="092E90FF" w14:textId="77777777" w:rsidR="00017EA5" w:rsidRPr="00B03141" w:rsidRDefault="00017EA5" w:rsidP="00017EA5">
            <w:pPr>
              <w:rPr>
                <w:rFonts w:cstheme="minorHAnsi"/>
                <w:lang w:val="de-DE"/>
              </w:rPr>
            </w:pPr>
            <w:r w:rsidRPr="00B03141">
              <w:rPr>
                <w:rFonts w:cstheme="minorHAnsi"/>
                <w:lang w:val="de-DE"/>
              </w:rPr>
              <w:t>Brauch</w:t>
            </w:r>
          </w:p>
        </w:tc>
        <w:tc>
          <w:tcPr>
            <w:tcW w:w="1560" w:type="dxa"/>
          </w:tcPr>
          <w:p w14:paraId="5A7D4A85" w14:textId="77777777" w:rsidR="00017EA5" w:rsidRPr="00965857" w:rsidRDefault="00017EA5" w:rsidP="00017EA5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Ackermann&amp;</w:t>
            </w:r>
            <w:r>
              <w:rPr>
                <w:rFonts w:cstheme="minorHAnsi"/>
                <w:lang w:val="de-DE"/>
              </w:rPr>
              <w:br/>
              <w:t>Eden, Kap. 1</w:t>
            </w:r>
          </w:p>
        </w:tc>
        <w:tc>
          <w:tcPr>
            <w:tcW w:w="2171" w:type="dxa"/>
          </w:tcPr>
          <w:p w14:paraId="13A0BFE3" w14:textId="77777777" w:rsidR="00017EA5" w:rsidRPr="00D727BE" w:rsidRDefault="00017EA5" w:rsidP="00017EA5">
            <w:pPr>
              <w:rPr>
                <w:rFonts w:cstheme="minorHAnsi"/>
                <w:lang w:val="de-DE"/>
              </w:rPr>
            </w:pPr>
            <w:proofErr w:type="spellStart"/>
            <w:r w:rsidRPr="00D727BE">
              <w:rPr>
                <w:rFonts w:cstheme="minorHAnsi"/>
                <w:lang w:val="de-DE"/>
              </w:rPr>
              <w:t>Ackermann&amp;Eden</w:t>
            </w:r>
            <w:proofErr w:type="spellEnd"/>
            <w:r w:rsidRPr="00D727BE">
              <w:rPr>
                <w:rFonts w:cstheme="minorHAnsi"/>
                <w:lang w:val="de-DE"/>
              </w:rPr>
              <w:t xml:space="preserve">, Kap. </w:t>
            </w:r>
            <w:r>
              <w:rPr>
                <w:rFonts w:cstheme="minorHAnsi"/>
                <w:lang w:val="de-DE"/>
              </w:rPr>
              <w:t xml:space="preserve">2-3; </w:t>
            </w:r>
            <w:proofErr w:type="spellStart"/>
            <w:r>
              <w:rPr>
                <w:rFonts w:cstheme="minorHAnsi"/>
                <w:lang w:val="de-DE"/>
              </w:rPr>
              <w:t>Pidd</w:t>
            </w:r>
            <w:proofErr w:type="spellEnd"/>
            <w:r>
              <w:rPr>
                <w:rFonts w:cstheme="minorHAnsi"/>
                <w:lang w:val="de-DE"/>
              </w:rPr>
              <w:t xml:space="preserve">, Kap. 6; </w:t>
            </w:r>
            <w:proofErr w:type="spellStart"/>
            <w:r>
              <w:rPr>
                <w:rFonts w:cstheme="minorHAnsi"/>
                <w:lang w:val="de-DE"/>
              </w:rPr>
              <w:t>Rosenhead</w:t>
            </w:r>
            <w:proofErr w:type="spellEnd"/>
            <w:r>
              <w:rPr>
                <w:rFonts w:cstheme="minorHAnsi"/>
                <w:lang w:val="de-DE"/>
              </w:rPr>
              <w:t>&amp;</w:t>
            </w:r>
            <w:r>
              <w:rPr>
                <w:rFonts w:cstheme="minorHAnsi"/>
                <w:lang w:val="de-DE"/>
              </w:rPr>
              <w:br/>
            </w:r>
            <w:proofErr w:type="spellStart"/>
            <w:r>
              <w:rPr>
                <w:rFonts w:cstheme="minorHAnsi"/>
                <w:lang w:val="de-DE"/>
              </w:rPr>
              <w:t>Mingers</w:t>
            </w:r>
            <w:proofErr w:type="spellEnd"/>
            <w:r>
              <w:rPr>
                <w:rFonts w:cstheme="minorHAnsi"/>
                <w:lang w:val="de-DE"/>
              </w:rPr>
              <w:t>, Kap. 2</w:t>
            </w:r>
          </w:p>
        </w:tc>
      </w:tr>
    </w:tbl>
    <w:p w14:paraId="0435A294" w14:textId="77777777" w:rsidR="00586055" w:rsidRPr="00171EB4" w:rsidRDefault="00586055" w:rsidP="00586055">
      <w:pPr>
        <w:spacing w:after="0" w:line="240" w:lineRule="auto"/>
        <w:rPr>
          <w:rFonts w:cstheme="minorHAnsi"/>
          <w:lang w:val="de-DE"/>
        </w:rPr>
      </w:pPr>
    </w:p>
    <w:p w14:paraId="18AAA930" w14:textId="77777777" w:rsidR="00BA3D4A" w:rsidRDefault="00586055" w:rsidP="00FF0FAD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Bitte lesen Sie die angegebene</w:t>
      </w:r>
      <w:r w:rsidR="00F0797C">
        <w:rPr>
          <w:rFonts w:cstheme="minorHAnsi"/>
          <w:lang w:val="de-DE"/>
        </w:rPr>
        <w:t xml:space="preserve"> Literatur zur Vorbereitung </w:t>
      </w:r>
      <w:r w:rsidRPr="00586055">
        <w:rPr>
          <w:rFonts w:cstheme="minorHAnsi"/>
          <w:u w:val="single"/>
          <w:lang w:val="de-DE"/>
        </w:rPr>
        <w:t>vor</w:t>
      </w:r>
      <w:r>
        <w:rPr>
          <w:rFonts w:cstheme="minorHAnsi"/>
          <w:lang w:val="de-DE"/>
        </w:rPr>
        <w:t xml:space="preserve"> der Vorlesung</w:t>
      </w:r>
      <w:r w:rsidR="002D157A">
        <w:rPr>
          <w:rFonts w:cstheme="minorHAnsi"/>
          <w:lang w:val="de-DE"/>
        </w:rPr>
        <w:t xml:space="preserve"> als Motivation und Inspiration</w:t>
      </w:r>
      <w:r w:rsidR="00760C40">
        <w:rPr>
          <w:rFonts w:cstheme="minorHAnsi"/>
          <w:lang w:val="de-DE"/>
        </w:rPr>
        <w:t xml:space="preserve">. </w:t>
      </w:r>
      <w:r w:rsidR="002D157A">
        <w:rPr>
          <w:rFonts w:cstheme="minorHAnsi"/>
          <w:lang w:val="de-DE"/>
        </w:rPr>
        <w:t>Außerdem vermittelt diese Literatur Grundsätzliches zum Inhalt der entsprechenden Veranstaltung;</w:t>
      </w:r>
      <w:r w:rsidR="00760C40">
        <w:rPr>
          <w:rFonts w:cstheme="minorHAnsi"/>
          <w:lang w:val="de-DE"/>
        </w:rPr>
        <w:t xml:space="preserve"> wir </w:t>
      </w:r>
      <w:r w:rsidR="002D157A">
        <w:rPr>
          <w:rFonts w:cstheme="minorHAnsi"/>
          <w:lang w:val="de-DE"/>
        </w:rPr>
        <w:t xml:space="preserve">gehen </w:t>
      </w:r>
      <w:r w:rsidR="00760C40">
        <w:rPr>
          <w:rFonts w:cstheme="minorHAnsi"/>
          <w:lang w:val="de-DE"/>
        </w:rPr>
        <w:t>davon aus, dass Sie</w:t>
      </w:r>
      <w:r w:rsidR="002D157A">
        <w:rPr>
          <w:rFonts w:cstheme="minorHAnsi"/>
          <w:lang w:val="de-DE"/>
        </w:rPr>
        <w:t xml:space="preserve"> bereits</w:t>
      </w:r>
      <w:r w:rsidR="00760C40">
        <w:rPr>
          <w:rFonts w:cstheme="minorHAnsi"/>
          <w:lang w:val="de-DE"/>
        </w:rPr>
        <w:t xml:space="preserve"> </w:t>
      </w:r>
      <w:r w:rsidR="002D157A">
        <w:rPr>
          <w:rFonts w:cstheme="minorHAnsi"/>
          <w:lang w:val="de-DE"/>
        </w:rPr>
        <w:t>eine solche grundsätzliche Idee bezüglich der Inhalte mitbringen</w:t>
      </w:r>
      <w:r>
        <w:rPr>
          <w:rFonts w:cstheme="minorHAnsi"/>
          <w:lang w:val="de-DE"/>
        </w:rPr>
        <w:t>.</w:t>
      </w:r>
      <w:r w:rsidR="00F0797C">
        <w:rPr>
          <w:rFonts w:cstheme="minorHAnsi"/>
          <w:lang w:val="de-DE"/>
        </w:rPr>
        <w:t xml:space="preserve"> Die Literatur zur Nachbereitung </w:t>
      </w:r>
      <w:r w:rsidR="00EE03F8">
        <w:rPr>
          <w:rFonts w:cstheme="minorHAnsi"/>
          <w:lang w:val="de-DE"/>
        </w:rPr>
        <w:t>kann</w:t>
      </w:r>
      <w:r w:rsidR="00F0797C">
        <w:rPr>
          <w:rFonts w:cstheme="minorHAnsi"/>
          <w:lang w:val="de-DE"/>
        </w:rPr>
        <w:t xml:space="preserve"> Ihnen bei der Vertiefung des Stoffes </w:t>
      </w:r>
      <w:r w:rsidR="00760C40">
        <w:rPr>
          <w:rFonts w:cstheme="minorHAnsi"/>
          <w:lang w:val="de-DE"/>
        </w:rPr>
        <w:t xml:space="preserve">und bei der Klausurvorbereitung </w:t>
      </w:r>
      <w:r w:rsidR="00F0797C">
        <w:rPr>
          <w:rFonts w:cstheme="minorHAnsi"/>
          <w:lang w:val="de-DE"/>
        </w:rPr>
        <w:t>behilflich sein.</w:t>
      </w:r>
    </w:p>
    <w:p w14:paraId="66294A5C" w14:textId="77777777" w:rsidR="009768B9" w:rsidRDefault="00521644" w:rsidP="00FF0FAD">
      <w:pPr>
        <w:rPr>
          <w:rFonts w:cstheme="minorHAnsi"/>
          <w:lang w:val="de-DE"/>
        </w:rPr>
      </w:pPr>
      <w:r w:rsidRPr="00DB6F3D">
        <w:rPr>
          <w:rFonts w:cstheme="minorHAnsi"/>
          <w:lang w:val="de-DE"/>
        </w:rPr>
        <w:lastRenderedPageBreak/>
        <w:t>Bitte bringen Sie</w:t>
      </w:r>
      <w:r w:rsidR="00760C40">
        <w:rPr>
          <w:rFonts w:cstheme="minorHAnsi"/>
          <w:lang w:val="de-DE"/>
        </w:rPr>
        <w:t xml:space="preserve"> </w:t>
      </w:r>
      <w:r w:rsidRPr="00DB6F3D">
        <w:rPr>
          <w:rFonts w:cstheme="minorHAnsi"/>
          <w:lang w:val="de-DE"/>
        </w:rPr>
        <w:t xml:space="preserve">einen Laptop mit </w:t>
      </w:r>
      <w:r>
        <w:rPr>
          <w:rFonts w:cstheme="minorHAnsi"/>
          <w:lang w:val="de-DE"/>
        </w:rPr>
        <w:t xml:space="preserve">(ein Rechner für zwei bis drei Studierende ist ausreichend) </w:t>
      </w:r>
      <w:r w:rsidRPr="00DB6F3D">
        <w:rPr>
          <w:rFonts w:cstheme="minorHAnsi"/>
          <w:lang w:val="de-DE"/>
        </w:rPr>
        <w:t xml:space="preserve">und installieren die angegebene Software </w:t>
      </w:r>
      <w:r w:rsidRPr="00DB6F3D">
        <w:rPr>
          <w:rFonts w:cstheme="minorHAnsi"/>
          <w:u w:val="single"/>
          <w:lang w:val="de-DE"/>
        </w:rPr>
        <w:t>vor</w:t>
      </w:r>
      <w:r w:rsidR="00760C40">
        <w:rPr>
          <w:rFonts w:cstheme="minorHAnsi"/>
          <w:lang w:val="de-DE"/>
        </w:rPr>
        <w:t xml:space="preserve"> der </w:t>
      </w:r>
      <w:r w:rsidR="002D157A">
        <w:rPr>
          <w:rFonts w:cstheme="minorHAnsi"/>
          <w:lang w:val="de-DE"/>
        </w:rPr>
        <w:t>Veranstaltung</w:t>
      </w:r>
      <w:r w:rsidR="00760C40">
        <w:rPr>
          <w:rFonts w:cstheme="minorHAnsi"/>
          <w:lang w:val="de-DE"/>
        </w:rPr>
        <w:t xml:space="preserve"> (Links siehe unten).</w:t>
      </w:r>
    </w:p>
    <w:p w14:paraId="5916A6E7" w14:textId="77777777" w:rsidR="001367C4" w:rsidRPr="00DB6F3D" w:rsidRDefault="001367C4" w:rsidP="00FF0FAD">
      <w:pPr>
        <w:rPr>
          <w:rFonts w:cstheme="minorHAnsi"/>
          <w:vanish/>
          <w:lang w:val="de-DE"/>
        </w:rPr>
      </w:pPr>
    </w:p>
    <w:p w14:paraId="550DD2F2" w14:textId="77777777" w:rsidR="002754D8" w:rsidRPr="00DB6F3D" w:rsidRDefault="002754D8" w:rsidP="00FF0FAD">
      <w:pPr>
        <w:rPr>
          <w:rFonts w:cstheme="minorHAnsi"/>
          <w:u w:val="single"/>
          <w:lang w:val="de-DE"/>
        </w:rPr>
      </w:pPr>
      <w:r w:rsidRPr="00DB6F3D">
        <w:rPr>
          <w:rFonts w:cstheme="minorHAnsi"/>
          <w:u w:val="single"/>
          <w:lang w:val="de-DE"/>
        </w:rPr>
        <w:t>Klausur</w:t>
      </w:r>
    </w:p>
    <w:p w14:paraId="0E625E64" w14:textId="77777777" w:rsidR="00A43B63" w:rsidRDefault="001D55B3" w:rsidP="00FF0FAD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Der Zwischentest (10% der Endnote) ist ein kurzer Multiple-Choice-Test, der sich auf die bis dahin besprochenen Inhalte bezieht. Er kann weder wiederholt noch an einem anderen Termin nachgeschrieben werden.</w:t>
      </w:r>
    </w:p>
    <w:p w14:paraId="6ECBD8F3" w14:textId="77777777" w:rsidR="002754D8" w:rsidRDefault="002754D8" w:rsidP="00FF0FAD">
      <w:pPr>
        <w:rPr>
          <w:rFonts w:cstheme="minorHAnsi"/>
          <w:lang w:val="de-DE"/>
        </w:rPr>
      </w:pPr>
      <w:r w:rsidRPr="00DB6F3D">
        <w:rPr>
          <w:rFonts w:cstheme="minorHAnsi"/>
          <w:lang w:val="de-DE"/>
        </w:rPr>
        <w:t xml:space="preserve">Die </w:t>
      </w:r>
      <w:r w:rsidR="00A43B63">
        <w:rPr>
          <w:rFonts w:cstheme="minorHAnsi"/>
          <w:lang w:val="de-DE"/>
        </w:rPr>
        <w:t>Endk</w:t>
      </w:r>
      <w:r w:rsidRPr="00DB6F3D">
        <w:rPr>
          <w:rFonts w:cstheme="minorHAnsi"/>
          <w:lang w:val="de-DE"/>
        </w:rPr>
        <w:t xml:space="preserve">lausur </w:t>
      </w:r>
      <w:r w:rsidR="00A43B63">
        <w:rPr>
          <w:rFonts w:cstheme="minorHAnsi"/>
          <w:lang w:val="de-DE"/>
        </w:rPr>
        <w:t>(90%</w:t>
      </w:r>
      <w:r w:rsidR="001D55B3">
        <w:rPr>
          <w:rFonts w:cstheme="minorHAnsi"/>
          <w:lang w:val="de-DE"/>
        </w:rPr>
        <w:t xml:space="preserve"> der Endnote</w:t>
      </w:r>
      <w:r w:rsidR="00A43B63">
        <w:rPr>
          <w:rFonts w:cstheme="minorHAnsi"/>
          <w:lang w:val="de-DE"/>
        </w:rPr>
        <w:t xml:space="preserve">) </w:t>
      </w:r>
      <w:r w:rsidRPr="00DB6F3D">
        <w:rPr>
          <w:rFonts w:cstheme="minorHAnsi"/>
          <w:lang w:val="de-DE"/>
        </w:rPr>
        <w:t>bezieht sich auf alle in Vorlesung oder Übung besprochenen Inhalte</w:t>
      </w:r>
      <w:r w:rsidR="00AC7A55">
        <w:rPr>
          <w:rFonts w:cstheme="minorHAnsi"/>
          <w:lang w:val="de-DE"/>
        </w:rPr>
        <w:t xml:space="preserve"> (zur </w:t>
      </w:r>
      <w:r w:rsidR="00E84F85">
        <w:rPr>
          <w:rFonts w:cstheme="minorHAnsi"/>
          <w:lang w:val="de-DE"/>
        </w:rPr>
        <w:t>Wiederholung/</w:t>
      </w:r>
      <w:r w:rsidR="00AC7A55">
        <w:rPr>
          <w:rFonts w:cstheme="minorHAnsi"/>
          <w:lang w:val="de-DE"/>
        </w:rPr>
        <w:t>Ergänzung</w:t>
      </w:r>
      <w:r w:rsidR="001D55B3">
        <w:rPr>
          <w:rFonts w:cstheme="minorHAnsi"/>
          <w:lang w:val="de-DE"/>
        </w:rPr>
        <w:t>/Vertiefung</w:t>
      </w:r>
      <w:r w:rsidR="00AC7A55">
        <w:rPr>
          <w:rFonts w:cstheme="minorHAnsi"/>
          <w:lang w:val="de-DE"/>
        </w:rPr>
        <w:t xml:space="preserve"> der </w:t>
      </w:r>
      <w:r w:rsidR="001D55B3">
        <w:rPr>
          <w:rFonts w:cstheme="minorHAnsi"/>
          <w:lang w:val="de-DE"/>
        </w:rPr>
        <w:t xml:space="preserve">jeweiligen </w:t>
      </w:r>
      <w:r w:rsidR="00AC7A55">
        <w:rPr>
          <w:rFonts w:cstheme="minorHAnsi"/>
          <w:lang w:val="de-DE"/>
        </w:rPr>
        <w:t>V</w:t>
      </w:r>
      <w:r w:rsidR="001D55B3">
        <w:rPr>
          <w:rFonts w:cstheme="minorHAnsi"/>
          <w:lang w:val="de-DE"/>
        </w:rPr>
        <w:t>eranstaltungs</w:t>
      </w:r>
      <w:r w:rsidR="00AC7A55">
        <w:rPr>
          <w:rFonts w:cstheme="minorHAnsi"/>
          <w:lang w:val="de-DE"/>
        </w:rPr>
        <w:t>materialien empfiehlt sich die Literatur zur Nachbereitung)</w:t>
      </w:r>
      <w:r w:rsidR="001D55B3">
        <w:rPr>
          <w:rFonts w:cstheme="minorHAnsi"/>
          <w:lang w:val="de-DE"/>
        </w:rPr>
        <w:t xml:space="preserve"> und beinhaltet sowohl einen Wissens- als auch einen Anwendungsabschnitt</w:t>
      </w:r>
      <w:r w:rsidR="00AC7A55">
        <w:rPr>
          <w:rFonts w:cstheme="minorHAnsi"/>
          <w:lang w:val="de-DE"/>
        </w:rPr>
        <w:t>.</w:t>
      </w:r>
      <w:r w:rsidR="001D55B3">
        <w:rPr>
          <w:rFonts w:cstheme="minorHAnsi"/>
          <w:lang w:val="de-DE"/>
        </w:rPr>
        <w:t xml:space="preserve"> Außerdem klausurrelevant</w:t>
      </w:r>
      <w:r w:rsidR="00AC7A55">
        <w:rPr>
          <w:rFonts w:cstheme="minorHAnsi"/>
          <w:lang w:val="de-DE"/>
        </w:rPr>
        <w:t xml:space="preserve"> ist die zur Vorbereitung angegebene Literatur.</w:t>
      </w:r>
    </w:p>
    <w:p w14:paraId="1D4ECC14" w14:textId="77777777" w:rsidR="00B42CEE" w:rsidRDefault="00B42CEE" w:rsidP="00FF0FAD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Werden insgesamt mindestens 50% der Punkte erreicht, gilt die Veranstaltung als bestanden mit sechs Leistungspunkten.</w:t>
      </w:r>
    </w:p>
    <w:p w14:paraId="72F7E105" w14:textId="77777777" w:rsidR="00696D54" w:rsidRDefault="00696D54" w:rsidP="00FF0FAD">
      <w:pPr>
        <w:rPr>
          <w:rFonts w:cstheme="minorHAnsi"/>
          <w:lang w:val="de-DE"/>
        </w:rPr>
      </w:pPr>
    </w:p>
    <w:p w14:paraId="2A808124" w14:textId="77777777" w:rsidR="00696D54" w:rsidRPr="004B4C85" w:rsidRDefault="00696D54" w:rsidP="00FF0FAD">
      <w:pPr>
        <w:rPr>
          <w:rFonts w:cstheme="minorHAnsi"/>
          <w:u w:val="single"/>
          <w:lang w:val="de-DE"/>
        </w:rPr>
      </w:pPr>
      <w:r w:rsidRPr="004B4C85">
        <w:rPr>
          <w:rFonts w:cstheme="minorHAnsi"/>
          <w:u w:val="single"/>
          <w:lang w:val="de-DE"/>
        </w:rPr>
        <w:t>Software</w:t>
      </w:r>
      <w:r w:rsidR="00760C40" w:rsidRPr="00760C40">
        <w:rPr>
          <w:rFonts w:cstheme="minorHAnsi"/>
          <w:lang w:val="de-DE"/>
        </w:rPr>
        <w:t xml:space="preserve"> (hier angegeben sind die Links zu kostenlosen Demoversionen der Software)</w:t>
      </w:r>
    </w:p>
    <w:p w14:paraId="1EE71387" w14:textId="4C3D8501" w:rsidR="004F5F1B" w:rsidRPr="00D60AF9" w:rsidRDefault="00D60AF9" w:rsidP="00FF0FAD">
      <w:pPr>
        <w:rPr>
          <w:rFonts w:cstheme="minorHAnsi"/>
          <w:lang w:val="de-DE"/>
        </w:rPr>
      </w:pPr>
      <w:r w:rsidRPr="00D60AF9">
        <w:rPr>
          <w:rFonts w:cstheme="minorHAnsi"/>
          <w:lang w:val="de-DE"/>
        </w:rPr>
        <w:t>DES:</w:t>
      </w:r>
      <w:r>
        <w:rPr>
          <w:rFonts w:cstheme="minorHAnsi"/>
          <w:lang w:val="de-DE"/>
        </w:rPr>
        <w:t xml:space="preserve"> </w:t>
      </w:r>
      <w:r w:rsidR="004F5F1B" w:rsidRPr="00D60AF9">
        <w:rPr>
          <w:rFonts w:cstheme="minorHAnsi"/>
          <w:lang w:val="de-DE"/>
        </w:rPr>
        <w:t xml:space="preserve">Arena -- </w:t>
      </w:r>
      <w:r w:rsidR="0048025E" w:rsidRPr="00D60AF9">
        <w:rPr>
          <w:rFonts w:cstheme="minorHAnsi"/>
          <w:lang w:val="de-DE"/>
        </w:rPr>
        <w:t>https://www.arenasimulation.com/simulation-software-download</w:t>
      </w:r>
    </w:p>
    <w:p w14:paraId="21E4E688" w14:textId="231027FB" w:rsidR="0048025E" w:rsidRDefault="00D60AF9" w:rsidP="00FF0FA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SM: </w:t>
      </w:r>
      <w:r w:rsidR="0048025E">
        <w:rPr>
          <w:rFonts w:cstheme="minorHAnsi"/>
          <w:lang w:val="en-GB"/>
        </w:rPr>
        <w:t xml:space="preserve">Decision Explorer -- </w:t>
      </w:r>
      <w:r w:rsidR="0048025E" w:rsidRPr="0048025E">
        <w:rPr>
          <w:rFonts w:cstheme="minorHAnsi"/>
          <w:lang w:val="en-GB"/>
        </w:rPr>
        <w:t>http://banxia.com/dexplore/resources/demodownload/</w:t>
      </w:r>
    </w:p>
    <w:p w14:paraId="656CA3A1" w14:textId="6379C3B7" w:rsidR="00696D54" w:rsidRPr="00696D54" w:rsidRDefault="00D60AF9" w:rsidP="00FF0FA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LP: </w:t>
      </w:r>
      <w:r w:rsidR="00696D54" w:rsidRPr="00696D54">
        <w:rPr>
          <w:rFonts w:cstheme="minorHAnsi"/>
          <w:lang w:val="en-GB"/>
        </w:rPr>
        <w:t>Excel -- https://www.microsoft.com/de-DE/download/details.aspx?id=10</w:t>
      </w:r>
    </w:p>
    <w:p w14:paraId="13CE487C" w14:textId="77777777" w:rsidR="00696D54" w:rsidRPr="006366CC" w:rsidRDefault="006366CC" w:rsidP="00FF0FAD">
      <w:pPr>
        <w:rPr>
          <w:rFonts w:cstheme="minorHAnsi"/>
          <w:lang w:val="de-DE"/>
        </w:rPr>
      </w:pPr>
      <w:r w:rsidRPr="006366CC">
        <w:rPr>
          <w:rFonts w:cstheme="minorHAnsi"/>
          <w:lang w:val="de-DE"/>
        </w:rPr>
        <w:t>[</w:t>
      </w:r>
      <w:r w:rsidR="00696D54" w:rsidRPr="006366CC">
        <w:rPr>
          <w:rFonts w:cstheme="minorHAnsi"/>
          <w:lang w:val="de-DE"/>
        </w:rPr>
        <w:t xml:space="preserve">GAMS -- </w:t>
      </w:r>
      <w:r w:rsidRPr="006366CC">
        <w:rPr>
          <w:rFonts w:cstheme="minorHAnsi"/>
          <w:lang w:val="de-DE"/>
        </w:rPr>
        <w:t>https://www.gams.com/download/ als Alt</w:t>
      </w:r>
      <w:r>
        <w:rPr>
          <w:rFonts w:cstheme="minorHAnsi"/>
          <w:lang w:val="de-DE"/>
        </w:rPr>
        <w:t>ernative zu Excel bei Linearer Programmierung]</w:t>
      </w:r>
    </w:p>
    <w:p w14:paraId="6BBF6D39" w14:textId="068F3602" w:rsidR="00B50D28" w:rsidRPr="00D60AF9" w:rsidRDefault="00D60AF9" w:rsidP="00FF0FAD">
      <w:pPr>
        <w:rPr>
          <w:rFonts w:cstheme="minorHAnsi"/>
          <w:lang w:val="en-GB"/>
        </w:rPr>
      </w:pPr>
      <w:r w:rsidRPr="00D60AF9">
        <w:rPr>
          <w:rFonts w:cstheme="minorHAnsi"/>
          <w:lang w:val="en-GB"/>
        </w:rPr>
        <w:t xml:space="preserve">ABS: </w:t>
      </w:r>
      <w:proofErr w:type="spellStart"/>
      <w:r w:rsidR="00B50D28" w:rsidRPr="00D60AF9">
        <w:rPr>
          <w:rFonts w:cstheme="minorHAnsi"/>
          <w:lang w:val="en-GB"/>
        </w:rPr>
        <w:t>Netlogo</w:t>
      </w:r>
      <w:proofErr w:type="spellEnd"/>
      <w:r w:rsidR="00B50D28" w:rsidRPr="00D60AF9">
        <w:rPr>
          <w:rFonts w:cstheme="minorHAnsi"/>
          <w:lang w:val="en-GB"/>
        </w:rPr>
        <w:t xml:space="preserve"> -- https://ccl.northwestern.edu/netlogo/download.shtml</w:t>
      </w:r>
    </w:p>
    <w:p w14:paraId="29CE1C0B" w14:textId="4C4679E5" w:rsidR="004F5F1B" w:rsidRPr="003549B6" w:rsidRDefault="00D60AF9" w:rsidP="00FF0FA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SD: </w:t>
      </w:r>
      <w:r w:rsidR="004F5F1B" w:rsidRPr="003549B6">
        <w:rPr>
          <w:rFonts w:cstheme="minorHAnsi"/>
          <w:lang w:val="en-GB"/>
        </w:rPr>
        <w:t>Vensim -- http://vensim.com/free-download/</w:t>
      </w:r>
    </w:p>
    <w:p w14:paraId="6316A10B" w14:textId="77777777" w:rsidR="00696D54" w:rsidRPr="003549B6" w:rsidRDefault="00696D54" w:rsidP="00FF0FAD">
      <w:pPr>
        <w:rPr>
          <w:rFonts w:cstheme="minorHAnsi"/>
          <w:lang w:val="en-GB"/>
        </w:rPr>
      </w:pPr>
    </w:p>
    <w:p w14:paraId="762D1509" w14:textId="77777777" w:rsidR="00696D54" w:rsidRPr="003549B6" w:rsidRDefault="00696D54" w:rsidP="00FF0FAD">
      <w:pPr>
        <w:rPr>
          <w:rFonts w:cstheme="minorHAnsi"/>
          <w:u w:val="single"/>
          <w:lang w:val="en-GB"/>
        </w:rPr>
      </w:pPr>
      <w:proofErr w:type="spellStart"/>
      <w:r w:rsidRPr="003549B6">
        <w:rPr>
          <w:rFonts w:cstheme="minorHAnsi"/>
          <w:u w:val="single"/>
          <w:lang w:val="en-GB"/>
        </w:rPr>
        <w:t>Literatur</w:t>
      </w:r>
      <w:proofErr w:type="spellEnd"/>
    </w:p>
    <w:p w14:paraId="3A8CE5A4" w14:textId="77777777" w:rsidR="005170FA" w:rsidRPr="005170FA" w:rsidRDefault="005170FA" w:rsidP="00FF0FAD">
      <w:pPr>
        <w:rPr>
          <w:rFonts w:cstheme="minorHAnsi"/>
          <w:lang w:val="en-GB"/>
        </w:rPr>
      </w:pPr>
      <w:r>
        <w:rPr>
          <w:lang w:val="en-GB"/>
        </w:rPr>
        <w:t>Ackermann, F. and C. Eden: Making Strategy – Mapping out Strategic Success, 2</w:t>
      </w:r>
      <w:r w:rsidRPr="00DB4A18">
        <w:rPr>
          <w:vertAlign w:val="superscript"/>
          <w:lang w:val="en-GB"/>
        </w:rPr>
        <w:t>nd</w:t>
      </w:r>
      <w:r>
        <w:rPr>
          <w:lang w:val="en-GB"/>
        </w:rPr>
        <w:t xml:space="preserve"> ed., 2011.</w:t>
      </w:r>
    </w:p>
    <w:p w14:paraId="4A52A9A8" w14:textId="77777777" w:rsidR="003546E3" w:rsidRPr="00B42CEE" w:rsidRDefault="003546E3" w:rsidP="00FF0FAD">
      <w:pPr>
        <w:rPr>
          <w:rFonts w:cstheme="minorHAnsi"/>
          <w:lang w:val="en-GB"/>
        </w:rPr>
      </w:pPr>
      <w:proofErr w:type="spellStart"/>
      <w:r w:rsidRPr="003546E3">
        <w:rPr>
          <w:rFonts w:cstheme="minorHAnsi"/>
          <w:lang w:val="de-DE"/>
        </w:rPr>
        <w:t>Bloech</w:t>
      </w:r>
      <w:proofErr w:type="spellEnd"/>
      <w:r w:rsidRPr="003546E3">
        <w:rPr>
          <w:rFonts w:cstheme="minorHAnsi"/>
          <w:lang w:val="de-DE"/>
        </w:rPr>
        <w:t xml:space="preserve">, Jürgen, Ronald </w:t>
      </w:r>
      <w:proofErr w:type="spellStart"/>
      <w:r w:rsidRPr="003546E3">
        <w:rPr>
          <w:rFonts w:cstheme="minorHAnsi"/>
          <w:lang w:val="de-DE"/>
        </w:rPr>
        <w:t>Bogaschewsky</w:t>
      </w:r>
      <w:proofErr w:type="spellEnd"/>
      <w:r w:rsidRPr="003546E3">
        <w:rPr>
          <w:rFonts w:cstheme="minorHAnsi"/>
          <w:lang w:val="de-DE"/>
        </w:rPr>
        <w:t>, Udo Buscher, Anke Daub, Uwe Götz</w:t>
      </w:r>
      <w:r>
        <w:rPr>
          <w:rFonts w:cstheme="minorHAnsi"/>
          <w:lang w:val="de-DE"/>
        </w:rPr>
        <w:t xml:space="preserve">e, Folker Roland: Einführung in die Produktion, 7. </w:t>
      </w:r>
      <w:proofErr w:type="spellStart"/>
      <w:r w:rsidRPr="00B42CEE">
        <w:rPr>
          <w:rFonts w:cstheme="minorHAnsi"/>
          <w:lang w:val="en-GB"/>
        </w:rPr>
        <w:t>Aufl</w:t>
      </w:r>
      <w:proofErr w:type="spellEnd"/>
      <w:r w:rsidRPr="00B42CEE">
        <w:rPr>
          <w:rFonts w:cstheme="minorHAnsi"/>
          <w:lang w:val="en-GB"/>
        </w:rPr>
        <w:t xml:space="preserve">., Springer, </w:t>
      </w:r>
      <w:r w:rsidR="0084447D" w:rsidRPr="00B42CEE">
        <w:rPr>
          <w:rFonts w:cstheme="minorHAnsi"/>
          <w:lang w:val="en-GB"/>
        </w:rPr>
        <w:t>2014.</w:t>
      </w:r>
    </w:p>
    <w:p w14:paraId="60436D24" w14:textId="77777777" w:rsidR="003D7407" w:rsidRDefault="003D7407" w:rsidP="00FF0FAD">
      <w:p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Cachon</w:t>
      </w:r>
      <w:proofErr w:type="spellEnd"/>
      <w:r>
        <w:rPr>
          <w:rFonts w:cstheme="minorHAnsi"/>
          <w:lang w:val="en-GB"/>
        </w:rPr>
        <w:t xml:space="preserve">, Gérard, Christian </w:t>
      </w:r>
      <w:proofErr w:type="spellStart"/>
      <w:r>
        <w:rPr>
          <w:rFonts w:cstheme="minorHAnsi"/>
          <w:lang w:val="en-GB"/>
        </w:rPr>
        <w:t>Terwiesch</w:t>
      </w:r>
      <w:proofErr w:type="spellEnd"/>
      <w:r>
        <w:rPr>
          <w:rFonts w:cstheme="minorHAnsi"/>
          <w:lang w:val="en-GB"/>
        </w:rPr>
        <w:t>: Matching Supply with Demand, 3</w:t>
      </w:r>
      <w:r w:rsidRPr="003D7407">
        <w:rPr>
          <w:rFonts w:cstheme="minorHAnsi"/>
          <w:vertAlign w:val="superscript"/>
          <w:lang w:val="en-GB"/>
        </w:rPr>
        <w:t>rd</w:t>
      </w:r>
      <w:r>
        <w:rPr>
          <w:rFonts w:cstheme="minorHAnsi"/>
          <w:lang w:val="en-GB"/>
        </w:rPr>
        <w:t xml:space="preserve"> ed., McGraw-Hill, 2013.</w:t>
      </w:r>
    </w:p>
    <w:p w14:paraId="15BEF97D" w14:textId="77777777" w:rsidR="005C083E" w:rsidRDefault="005C083E" w:rsidP="00FF0FA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French, Simon, John Maule, Nadia </w:t>
      </w:r>
      <w:proofErr w:type="spellStart"/>
      <w:r>
        <w:rPr>
          <w:rFonts w:cstheme="minorHAnsi"/>
          <w:lang w:val="en-GB"/>
        </w:rPr>
        <w:t>Papamichail</w:t>
      </w:r>
      <w:proofErr w:type="spellEnd"/>
      <w:r w:rsidR="00246DE0">
        <w:rPr>
          <w:rFonts w:cstheme="minorHAnsi"/>
          <w:lang w:val="en-GB"/>
        </w:rPr>
        <w:t>: Decision Behaviour, Analysis and Support, Cambridge University, 2009.</w:t>
      </w:r>
    </w:p>
    <w:p w14:paraId="5A75EA1B" w14:textId="77777777" w:rsidR="00696D54" w:rsidRDefault="00696D54" w:rsidP="00FF0FAD">
      <w:pPr>
        <w:rPr>
          <w:rFonts w:cstheme="minorHAnsi"/>
          <w:lang w:val="en-GB"/>
        </w:rPr>
      </w:pPr>
      <w:proofErr w:type="spellStart"/>
      <w:r w:rsidRPr="00696D54">
        <w:rPr>
          <w:rFonts w:cstheme="minorHAnsi"/>
          <w:lang w:val="en-GB"/>
        </w:rPr>
        <w:t>Helber</w:t>
      </w:r>
      <w:proofErr w:type="spellEnd"/>
      <w:r w:rsidRPr="00696D54">
        <w:rPr>
          <w:rFonts w:cstheme="minorHAnsi"/>
          <w:lang w:val="en-GB"/>
        </w:rPr>
        <w:t xml:space="preserve">, Stefan: Operations Management Tutorial, </w:t>
      </w:r>
      <w:r w:rsidR="00B50D28">
        <w:rPr>
          <w:rFonts w:cstheme="minorHAnsi"/>
          <w:lang w:val="en-GB"/>
        </w:rPr>
        <w:t xml:space="preserve">Print-on-demand, </w:t>
      </w:r>
      <w:r w:rsidRPr="00696D54">
        <w:rPr>
          <w:rFonts w:cstheme="minorHAnsi"/>
          <w:lang w:val="en-GB"/>
        </w:rPr>
        <w:t>2014.</w:t>
      </w:r>
    </w:p>
    <w:p w14:paraId="78A2E266" w14:textId="77777777" w:rsidR="0016022C" w:rsidRDefault="0016022C" w:rsidP="00FF0FA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Kelton, W. David, Randall P. Sadowski, Nancy B. </w:t>
      </w:r>
      <w:proofErr w:type="spellStart"/>
      <w:r>
        <w:rPr>
          <w:rFonts w:cstheme="minorHAnsi"/>
          <w:lang w:val="en-GB"/>
        </w:rPr>
        <w:t>Zupick</w:t>
      </w:r>
      <w:proofErr w:type="spellEnd"/>
      <w:r>
        <w:rPr>
          <w:rFonts w:cstheme="minorHAnsi"/>
          <w:lang w:val="en-GB"/>
        </w:rPr>
        <w:t>: Simulation with Arena, 6</w:t>
      </w:r>
      <w:r w:rsidRPr="0016022C">
        <w:rPr>
          <w:rFonts w:cstheme="minorHAnsi"/>
          <w:vertAlign w:val="superscript"/>
          <w:lang w:val="en-GB"/>
        </w:rPr>
        <w:t>th</w:t>
      </w:r>
      <w:r>
        <w:rPr>
          <w:rFonts w:cstheme="minorHAnsi"/>
          <w:lang w:val="en-GB"/>
        </w:rPr>
        <w:t xml:space="preserve"> ed., McGraw-Hill, 2015.</w:t>
      </w:r>
    </w:p>
    <w:p w14:paraId="1BD46608" w14:textId="77777777" w:rsidR="0083596B" w:rsidRPr="0083596B" w:rsidRDefault="0083596B" w:rsidP="00FF0FAD">
      <w:pPr>
        <w:rPr>
          <w:rFonts w:cstheme="minorHAnsi"/>
          <w:lang w:val="de-DE"/>
        </w:rPr>
      </w:pPr>
      <w:r w:rsidRPr="0083596B">
        <w:rPr>
          <w:rFonts w:cstheme="minorHAnsi"/>
          <w:lang w:val="de-DE"/>
        </w:rPr>
        <w:lastRenderedPageBreak/>
        <w:t>Kummer, Sebastian, Oskar Grün, W</w:t>
      </w:r>
      <w:r>
        <w:rPr>
          <w:rFonts w:cstheme="minorHAnsi"/>
          <w:lang w:val="de-DE"/>
        </w:rPr>
        <w:t xml:space="preserve">erner </w:t>
      </w:r>
      <w:proofErr w:type="spellStart"/>
      <w:r>
        <w:rPr>
          <w:rFonts w:cstheme="minorHAnsi"/>
          <w:lang w:val="de-DE"/>
        </w:rPr>
        <w:t>Jammernegg</w:t>
      </w:r>
      <w:proofErr w:type="spellEnd"/>
      <w:r>
        <w:rPr>
          <w:rFonts w:cstheme="minorHAnsi"/>
          <w:lang w:val="de-DE"/>
        </w:rPr>
        <w:t>: Grundzüge der Beschaffung, Produktion und Logistik, Pearson, 2006.</w:t>
      </w:r>
    </w:p>
    <w:p w14:paraId="3E5B07DD" w14:textId="77777777" w:rsidR="00430F40" w:rsidRPr="00696D54" w:rsidRDefault="00430F40" w:rsidP="00FF0FAD">
      <w:pPr>
        <w:rPr>
          <w:rFonts w:cstheme="minorHAnsi"/>
          <w:lang w:val="en-GB"/>
        </w:rPr>
      </w:pPr>
      <w:proofErr w:type="spellStart"/>
      <w:r w:rsidRPr="002D29D3">
        <w:rPr>
          <w:rFonts w:cstheme="minorHAnsi"/>
          <w:lang w:val="en-GB"/>
        </w:rPr>
        <w:t>Pidd</w:t>
      </w:r>
      <w:proofErr w:type="spellEnd"/>
      <w:r w:rsidRPr="002D29D3">
        <w:rPr>
          <w:rFonts w:cstheme="minorHAnsi"/>
          <w:lang w:val="en-GB"/>
        </w:rPr>
        <w:t xml:space="preserve">, Michael: Tools for Thinking, </w:t>
      </w:r>
      <w:r w:rsidR="00FE18B1" w:rsidRPr="002D29D3">
        <w:rPr>
          <w:rFonts w:cstheme="minorHAnsi"/>
          <w:lang w:val="en-GB"/>
        </w:rPr>
        <w:t>3</w:t>
      </w:r>
      <w:r w:rsidR="00FE18B1" w:rsidRPr="002D29D3">
        <w:rPr>
          <w:rFonts w:cstheme="minorHAnsi"/>
          <w:vertAlign w:val="superscript"/>
          <w:lang w:val="en-GB"/>
        </w:rPr>
        <w:t>rd</w:t>
      </w:r>
      <w:r w:rsidRPr="002D29D3">
        <w:rPr>
          <w:rFonts w:cstheme="minorHAnsi"/>
          <w:lang w:val="en-GB"/>
        </w:rPr>
        <w:t xml:space="preserve"> ed., Wiley, 200</w:t>
      </w:r>
      <w:r w:rsidR="00FE18B1" w:rsidRPr="002D29D3">
        <w:rPr>
          <w:rFonts w:cstheme="minorHAnsi"/>
          <w:lang w:val="en-GB"/>
        </w:rPr>
        <w:t>9</w:t>
      </w:r>
      <w:r w:rsidRPr="002D29D3">
        <w:rPr>
          <w:rFonts w:cstheme="minorHAnsi"/>
          <w:lang w:val="en-GB"/>
        </w:rPr>
        <w:t>.</w:t>
      </w:r>
    </w:p>
    <w:p w14:paraId="454983A6" w14:textId="77777777" w:rsidR="00EE2525" w:rsidRDefault="00EE2525" w:rsidP="00FF0FAD">
      <w:p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Rosenhead</w:t>
      </w:r>
      <w:proofErr w:type="spellEnd"/>
      <w:r>
        <w:rPr>
          <w:rFonts w:cstheme="minorHAnsi"/>
          <w:lang w:val="en-GB"/>
        </w:rPr>
        <w:t>, Jonathan, John Mingers: Rational Analysis for a Problematic World Revisited, 2</w:t>
      </w:r>
      <w:r w:rsidRPr="00EE2525">
        <w:rPr>
          <w:rFonts w:cstheme="minorHAnsi"/>
          <w:vertAlign w:val="superscript"/>
          <w:lang w:val="en-GB"/>
        </w:rPr>
        <w:t>nd</w:t>
      </w:r>
      <w:r>
        <w:rPr>
          <w:rFonts w:cstheme="minorHAnsi"/>
          <w:lang w:val="en-GB"/>
        </w:rPr>
        <w:t xml:space="preserve"> ed., Wiley, 2001.</w:t>
      </w:r>
    </w:p>
    <w:p w14:paraId="304C5365" w14:textId="77777777" w:rsidR="00696D54" w:rsidRDefault="00B50D28" w:rsidP="00FF0FAD">
      <w:p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Sterman</w:t>
      </w:r>
      <w:proofErr w:type="spellEnd"/>
      <w:r>
        <w:rPr>
          <w:rFonts w:cstheme="minorHAnsi"/>
          <w:lang w:val="en-GB"/>
        </w:rPr>
        <w:t>, John D.: Business Dynamics, McGraw-Hill, 2000.</w:t>
      </w:r>
    </w:p>
    <w:p w14:paraId="7B28063B" w14:textId="77777777" w:rsidR="00A52AF5" w:rsidRDefault="00A52AF5" w:rsidP="00FF0FAD">
      <w:p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Taha</w:t>
      </w:r>
      <w:proofErr w:type="spellEnd"/>
      <w:r>
        <w:rPr>
          <w:rFonts w:cstheme="minorHAnsi"/>
          <w:lang w:val="en-GB"/>
        </w:rPr>
        <w:t xml:space="preserve">, </w:t>
      </w:r>
      <w:proofErr w:type="spellStart"/>
      <w:r>
        <w:rPr>
          <w:rFonts w:cstheme="minorHAnsi"/>
          <w:lang w:val="en-GB"/>
        </w:rPr>
        <w:t>Hamdy</w:t>
      </w:r>
      <w:proofErr w:type="spellEnd"/>
      <w:r>
        <w:rPr>
          <w:rFonts w:cstheme="minorHAnsi"/>
          <w:lang w:val="en-GB"/>
        </w:rPr>
        <w:t xml:space="preserve"> A.: Operations Research – An Introduction, 10</w:t>
      </w:r>
      <w:r w:rsidRPr="00A52AF5">
        <w:rPr>
          <w:rFonts w:cstheme="minorHAnsi"/>
          <w:vertAlign w:val="superscript"/>
          <w:lang w:val="en-GB"/>
        </w:rPr>
        <w:t>th</w:t>
      </w:r>
      <w:r>
        <w:rPr>
          <w:rFonts w:cstheme="minorHAnsi"/>
          <w:lang w:val="en-GB"/>
        </w:rPr>
        <w:t xml:space="preserve"> ed., Pearson, 2017.</w:t>
      </w:r>
    </w:p>
    <w:p w14:paraId="4983FCA5" w14:textId="77777777" w:rsidR="00AC23E8" w:rsidRDefault="00AC23E8" w:rsidP="00FF0FAD">
      <w:pPr>
        <w:rPr>
          <w:rFonts w:cstheme="minorHAnsi"/>
          <w:lang w:val="en-GB"/>
        </w:rPr>
      </w:pPr>
      <w:proofErr w:type="spellStart"/>
      <w:r w:rsidRPr="007D16C2">
        <w:rPr>
          <w:rFonts w:cstheme="minorHAnsi"/>
          <w:lang w:val="en-GB"/>
        </w:rPr>
        <w:t>Thonemann</w:t>
      </w:r>
      <w:proofErr w:type="spellEnd"/>
      <w:r w:rsidRPr="007D16C2">
        <w:rPr>
          <w:rFonts w:cstheme="minorHAnsi"/>
          <w:lang w:val="en-GB"/>
        </w:rPr>
        <w:t xml:space="preserve">, Ulrich: Operations Management, 3. </w:t>
      </w:r>
      <w:proofErr w:type="spellStart"/>
      <w:r w:rsidRPr="007D16C2">
        <w:rPr>
          <w:rFonts w:cstheme="minorHAnsi"/>
          <w:lang w:val="en-GB"/>
        </w:rPr>
        <w:t>Aufl</w:t>
      </w:r>
      <w:proofErr w:type="spellEnd"/>
      <w:r w:rsidRPr="007D16C2">
        <w:rPr>
          <w:rFonts w:cstheme="minorHAnsi"/>
          <w:lang w:val="en-GB"/>
        </w:rPr>
        <w:t>., Pearson, 2015.</w:t>
      </w:r>
    </w:p>
    <w:p w14:paraId="67801F7B" w14:textId="77777777" w:rsidR="00D02D69" w:rsidRPr="00696D54" w:rsidRDefault="00D02D69" w:rsidP="00FF0FA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Wilensky, Uri, William Rand: An Introduction to </w:t>
      </w:r>
      <w:proofErr w:type="spellStart"/>
      <w:r>
        <w:rPr>
          <w:rFonts w:cstheme="minorHAnsi"/>
          <w:lang w:val="en-GB"/>
        </w:rPr>
        <w:t>Agend</w:t>
      </w:r>
      <w:proofErr w:type="spellEnd"/>
      <w:r>
        <w:rPr>
          <w:rFonts w:cstheme="minorHAnsi"/>
          <w:lang w:val="en-GB"/>
        </w:rPr>
        <w:t xml:space="preserve">-based </w:t>
      </w:r>
      <w:proofErr w:type="spellStart"/>
      <w:r>
        <w:rPr>
          <w:rFonts w:cstheme="minorHAnsi"/>
          <w:lang w:val="en-GB"/>
        </w:rPr>
        <w:t>Modeling</w:t>
      </w:r>
      <w:proofErr w:type="spellEnd"/>
      <w:r>
        <w:rPr>
          <w:rFonts w:cstheme="minorHAnsi"/>
          <w:lang w:val="en-GB"/>
        </w:rPr>
        <w:t>, MIT Press, 2015.</w:t>
      </w:r>
    </w:p>
    <w:sectPr w:rsidR="00D02D69" w:rsidRPr="00696D54" w:rsidSect="00C779E0">
      <w:footerReference w:type="default" r:id="rId7"/>
      <w:pgSz w:w="12240" w:h="15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9C6E" w14:textId="77777777" w:rsidR="0005216C" w:rsidRDefault="0005216C" w:rsidP="00C779E0">
      <w:pPr>
        <w:spacing w:after="0" w:line="240" w:lineRule="auto"/>
      </w:pPr>
      <w:r>
        <w:separator/>
      </w:r>
    </w:p>
  </w:endnote>
  <w:endnote w:type="continuationSeparator" w:id="0">
    <w:p w14:paraId="2BFBB698" w14:textId="77777777" w:rsidR="0005216C" w:rsidRDefault="0005216C" w:rsidP="00C7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964551"/>
      <w:docPartObj>
        <w:docPartGallery w:val="Page Numbers (Bottom of Page)"/>
        <w:docPartUnique/>
      </w:docPartObj>
    </w:sdtPr>
    <w:sdtEndPr/>
    <w:sdtContent>
      <w:p w14:paraId="7D563ECC" w14:textId="6454336A" w:rsidR="00C779E0" w:rsidRDefault="00C779E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937" w:rsidRPr="00771937">
          <w:rPr>
            <w:noProof/>
            <w:lang w:val="de-DE"/>
          </w:rPr>
          <w:t>4</w:t>
        </w:r>
        <w:r>
          <w:fldChar w:fldCharType="end"/>
        </w:r>
      </w:p>
    </w:sdtContent>
  </w:sdt>
  <w:p w14:paraId="70B40ABF" w14:textId="77777777" w:rsidR="00C779E0" w:rsidRDefault="00C779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32E41" w14:textId="77777777" w:rsidR="0005216C" w:rsidRDefault="0005216C" w:rsidP="00C779E0">
      <w:pPr>
        <w:spacing w:after="0" w:line="240" w:lineRule="auto"/>
      </w:pPr>
      <w:r>
        <w:separator/>
      </w:r>
    </w:p>
  </w:footnote>
  <w:footnote w:type="continuationSeparator" w:id="0">
    <w:p w14:paraId="55CFAE5D" w14:textId="77777777" w:rsidR="0005216C" w:rsidRDefault="0005216C" w:rsidP="00C7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33"/>
    <w:multiLevelType w:val="hybridMultilevel"/>
    <w:tmpl w:val="F45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347D"/>
    <w:multiLevelType w:val="hybridMultilevel"/>
    <w:tmpl w:val="CB96B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934"/>
    <w:multiLevelType w:val="hybridMultilevel"/>
    <w:tmpl w:val="EB1C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D"/>
    <w:rsid w:val="00017EA5"/>
    <w:rsid w:val="00026A96"/>
    <w:rsid w:val="00042F98"/>
    <w:rsid w:val="0005216C"/>
    <w:rsid w:val="00071C33"/>
    <w:rsid w:val="0007751C"/>
    <w:rsid w:val="00080667"/>
    <w:rsid w:val="000B284A"/>
    <w:rsid w:val="000B3318"/>
    <w:rsid w:val="000D6033"/>
    <w:rsid w:val="000E442C"/>
    <w:rsid w:val="000E54E1"/>
    <w:rsid w:val="000E7F5F"/>
    <w:rsid w:val="000F6D04"/>
    <w:rsid w:val="00102186"/>
    <w:rsid w:val="0011632E"/>
    <w:rsid w:val="001367C4"/>
    <w:rsid w:val="00140B5B"/>
    <w:rsid w:val="0016022C"/>
    <w:rsid w:val="001709CA"/>
    <w:rsid w:val="00171EB4"/>
    <w:rsid w:val="001842E2"/>
    <w:rsid w:val="00187999"/>
    <w:rsid w:val="001A2826"/>
    <w:rsid w:val="001D55B3"/>
    <w:rsid w:val="00220CF7"/>
    <w:rsid w:val="00246DE0"/>
    <w:rsid w:val="00262DE7"/>
    <w:rsid w:val="002754D8"/>
    <w:rsid w:val="002806EF"/>
    <w:rsid w:val="002B0BE3"/>
    <w:rsid w:val="002D157A"/>
    <w:rsid w:val="002D29D3"/>
    <w:rsid w:val="002F6E8E"/>
    <w:rsid w:val="003322CC"/>
    <w:rsid w:val="00343370"/>
    <w:rsid w:val="003546E3"/>
    <w:rsid w:val="003549B6"/>
    <w:rsid w:val="003572AE"/>
    <w:rsid w:val="00360745"/>
    <w:rsid w:val="003674E1"/>
    <w:rsid w:val="003860CA"/>
    <w:rsid w:val="003D7407"/>
    <w:rsid w:val="003F1852"/>
    <w:rsid w:val="00402425"/>
    <w:rsid w:val="00404525"/>
    <w:rsid w:val="00430F40"/>
    <w:rsid w:val="00446745"/>
    <w:rsid w:val="0048025E"/>
    <w:rsid w:val="004B4C85"/>
    <w:rsid w:val="004B4FA2"/>
    <w:rsid w:val="004B524D"/>
    <w:rsid w:val="004D3277"/>
    <w:rsid w:val="004E78E7"/>
    <w:rsid w:val="004E796A"/>
    <w:rsid w:val="004F5F1B"/>
    <w:rsid w:val="005021F2"/>
    <w:rsid w:val="0050720C"/>
    <w:rsid w:val="005170FA"/>
    <w:rsid w:val="00521644"/>
    <w:rsid w:val="00531D6F"/>
    <w:rsid w:val="00563240"/>
    <w:rsid w:val="005670B5"/>
    <w:rsid w:val="00570CDF"/>
    <w:rsid w:val="00582737"/>
    <w:rsid w:val="00586055"/>
    <w:rsid w:val="005B1544"/>
    <w:rsid w:val="005C083E"/>
    <w:rsid w:val="005C23C1"/>
    <w:rsid w:val="005C5A57"/>
    <w:rsid w:val="005D25BA"/>
    <w:rsid w:val="005D2F77"/>
    <w:rsid w:val="005D6AB6"/>
    <w:rsid w:val="005F4A2B"/>
    <w:rsid w:val="005F778C"/>
    <w:rsid w:val="006057A0"/>
    <w:rsid w:val="006231CB"/>
    <w:rsid w:val="006366CC"/>
    <w:rsid w:val="00645861"/>
    <w:rsid w:val="00656866"/>
    <w:rsid w:val="006746CF"/>
    <w:rsid w:val="00676EE9"/>
    <w:rsid w:val="00684A0E"/>
    <w:rsid w:val="00687D7F"/>
    <w:rsid w:val="00696D54"/>
    <w:rsid w:val="006A3035"/>
    <w:rsid w:val="006A5BAD"/>
    <w:rsid w:val="00701BC2"/>
    <w:rsid w:val="00734533"/>
    <w:rsid w:val="007350B4"/>
    <w:rsid w:val="007449B0"/>
    <w:rsid w:val="007514A7"/>
    <w:rsid w:val="00760C40"/>
    <w:rsid w:val="00763810"/>
    <w:rsid w:val="00771937"/>
    <w:rsid w:val="0077737A"/>
    <w:rsid w:val="007779E4"/>
    <w:rsid w:val="00782AC9"/>
    <w:rsid w:val="007942E3"/>
    <w:rsid w:val="007A0315"/>
    <w:rsid w:val="007B7634"/>
    <w:rsid w:val="007D16C2"/>
    <w:rsid w:val="007E7CFF"/>
    <w:rsid w:val="008243E3"/>
    <w:rsid w:val="0083596B"/>
    <w:rsid w:val="0084447D"/>
    <w:rsid w:val="00862044"/>
    <w:rsid w:val="008A2143"/>
    <w:rsid w:val="008D4C08"/>
    <w:rsid w:val="008E6B2D"/>
    <w:rsid w:val="00925639"/>
    <w:rsid w:val="00931A40"/>
    <w:rsid w:val="0093624C"/>
    <w:rsid w:val="009464F2"/>
    <w:rsid w:val="00965857"/>
    <w:rsid w:val="009768B9"/>
    <w:rsid w:val="009A0D2F"/>
    <w:rsid w:val="009B40B3"/>
    <w:rsid w:val="009C1CBD"/>
    <w:rsid w:val="00A2777E"/>
    <w:rsid w:val="00A332F7"/>
    <w:rsid w:val="00A43B63"/>
    <w:rsid w:val="00A52AF5"/>
    <w:rsid w:val="00A61BFC"/>
    <w:rsid w:val="00AA66FD"/>
    <w:rsid w:val="00AB0392"/>
    <w:rsid w:val="00AB52AA"/>
    <w:rsid w:val="00AC23E8"/>
    <w:rsid w:val="00AC7A55"/>
    <w:rsid w:val="00B03141"/>
    <w:rsid w:val="00B1401C"/>
    <w:rsid w:val="00B17290"/>
    <w:rsid w:val="00B302C3"/>
    <w:rsid w:val="00B42CEE"/>
    <w:rsid w:val="00B50D28"/>
    <w:rsid w:val="00B52F48"/>
    <w:rsid w:val="00B57F56"/>
    <w:rsid w:val="00B62DFC"/>
    <w:rsid w:val="00B83953"/>
    <w:rsid w:val="00BA3D4A"/>
    <w:rsid w:val="00BA4A56"/>
    <w:rsid w:val="00C05F4C"/>
    <w:rsid w:val="00C11601"/>
    <w:rsid w:val="00C72B84"/>
    <w:rsid w:val="00C779E0"/>
    <w:rsid w:val="00C95C69"/>
    <w:rsid w:val="00C96514"/>
    <w:rsid w:val="00CC0DA7"/>
    <w:rsid w:val="00CD6576"/>
    <w:rsid w:val="00CF0576"/>
    <w:rsid w:val="00D02D69"/>
    <w:rsid w:val="00D2101A"/>
    <w:rsid w:val="00D35DFD"/>
    <w:rsid w:val="00D47DAB"/>
    <w:rsid w:val="00D60AF9"/>
    <w:rsid w:val="00D67AB8"/>
    <w:rsid w:val="00D70D4C"/>
    <w:rsid w:val="00D727BE"/>
    <w:rsid w:val="00D72AF4"/>
    <w:rsid w:val="00D85F29"/>
    <w:rsid w:val="00D87652"/>
    <w:rsid w:val="00DA2F25"/>
    <w:rsid w:val="00DB6F3D"/>
    <w:rsid w:val="00DB7A77"/>
    <w:rsid w:val="00DC5A94"/>
    <w:rsid w:val="00DD18FE"/>
    <w:rsid w:val="00DD2672"/>
    <w:rsid w:val="00DF6AB9"/>
    <w:rsid w:val="00E22891"/>
    <w:rsid w:val="00E3008E"/>
    <w:rsid w:val="00E3573D"/>
    <w:rsid w:val="00E61B6A"/>
    <w:rsid w:val="00E7000C"/>
    <w:rsid w:val="00E7236E"/>
    <w:rsid w:val="00E73561"/>
    <w:rsid w:val="00E808CA"/>
    <w:rsid w:val="00E843C0"/>
    <w:rsid w:val="00E84F85"/>
    <w:rsid w:val="00EA552F"/>
    <w:rsid w:val="00EE03F8"/>
    <w:rsid w:val="00EE2525"/>
    <w:rsid w:val="00EF420B"/>
    <w:rsid w:val="00F0797C"/>
    <w:rsid w:val="00F11564"/>
    <w:rsid w:val="00F15312"/>
    <w:rsid w:val="00F24869"/>
    <w:rsid w:val="00F53647"/>
    <w:rsid w:val="00F61FA8"/>
    <w:rsid w:val="00F73732"/>
    <w:rsid w:val="00FA2FDE"/>
    <w:rsid w:val="00FA67DA"/>
    <w:rsid w:val="00FB2260"/>
    <w:rsid w:val="00FD1959"/>
    <w:rsid w:val="00FE18B1"/>
    <w:rsid w:val="00FF0FA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1C86"/>
  <w15:chartTrackingRefBased/>
  <w15:docId w15:val="{5BFE4A86-742F-4AA6-8ACD-6D7BF747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1C33"/>
    <w:pPr>
      <w:ind w:left="720"/>
      <w:contextualSpacing/>
    </w:pPr>
  </w:style>
  <w:style w:type="table" w:styleId="Tabellenraster">
    <w:name w:val="Table Grid"/>
    <w:basedOn w:val="NormaleTabelle"/>
    <w:uiPriority w:val="39"/>
    <w:rsid w:val="00FF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5F1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5F1B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C779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79E0"/>
  </w:style>
  <w:style w:type="paragraph" w:styleId="Fuzeile">
    <w:name w:val="footer"/>
    <w:basedOn w:val="Standard"/>
    <w:link w:val="FuzeileZchn"/>
    <w:uiPriority w:val="99"/>
    <w:unhideWhenUsed/>
    <w:rsid w:val="00C779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79E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3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 Größler</cp:lastModifiedBy>
  <cp:revision>13</cp:revision>
  <cp:lastPrinted>2017-09-28T11:37:00Z</cp:lastPrinted>
  <dcterms:created xsi:type="dcterms:W3CDTF">2019-07-08T11:49:00Z</dcterms:created>
  <dcterms:modified xsi:type="dcterms:W3CDTF">2019-10-09T11:12:00Z</dcterms:modified>
</cp:coreProperties>
</file>