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A19C7" w14:textId="77777777" w:rsidR="008A2143" w:rsidRPr="00BF6139" w:rsidRDefault="00D3139A">
      <w:pPr>
        <w:rPr>
          <w:rFonts w:cstheme="minorHAnsi"/>
          <w:b/>
          <w:lang w:val="de-DE"/>
        </w:rPr>
      </w:pPr>
      <w:r w:rsidRPr="00BF6139">
        <w:rPr>
          <w:rFonts w:cstheme="minorHAnsi"/>
          <w:b/>
          <w:lang w:val="de-DE"/>
        </w:rPr>
        <w:t>Schlüsselqualifikation: Schwachsinn in Wissenschaft und Gesellschaft</w:t>
      </w:r>
    </w:p>
    <w:p w14:paraId="7FFE659A" w14:textId="21D3A7F8" w:rsidR="008A2143" w:rsidRPr="00DC5740" w:rsidRDefault="008A2143">
      <w:pPr>
        <w:rPr>
          <w:rFonts w:cstheme="minorHAnsi"/>
          <w:b/>
          <w:lang w:val="de-DE"/>
        </w:rPr>
      </w:pPr>
      <w:r w:rsidRPr="00DB6F3D">
        <w:rPr>
          <w:rFonts w:cstheme="minorHAnsi"/>
          <w:b/>
          <w:lang w:val="de-DE"/>
        </w:rPr>
        <w:t>WS 201</w:t>
      </w:r>
      <w:r w:rsidR="00FE4B42">
        <w:rPr>
          <w:rFonts w:cstheme="minorHAnsi"/>
          <w:b/>
          <w:lang w:val="de-DE"/>
        </w:rPr>
        <w:t>9</w:t>
      </w:r>
      <w:r w:rsidRPr="00DB6F3D">
        <w:rPr>
          <w:rFonts w:cstheme="minorHAnsi"/>
          <w:b/>
          <w:lang w:val="de-DE"/>
        </w:rPr>
        <w:t>/20</w:t>
      </w:r>
      <w:r w:rsidR="00FE4B42">
        <w:rPr>
          <w:rFonts w:cstheme="minorHAnsi"/>
          <w:b/>
          <w:lang w:val="de-DE"/>
        </w:rPr>
        <w:t>20</w:t>
      </w:r>
      <w:r w:rsidR="00DC5740">
        <w:rPr>
          <w:rFonts w:cstheme="minorHAnsi"/>
          <w:b/>
          <w:lang w:val="de-DE"/>
        </w:rPr>
        <w:t xml:space="preserve">, </w:t>
      </w:r>
      <w:r w:rsidR="008E6B2D" w:rsidRPr="00DB6F3D">
        <w:rPr>
          <w:rFonts w:cstheme="minorHAnsi"/>
          <w:lang w:val="de-DE"/>
        </w:rPr>
        <w:t xml:space="preserve">Version: </w:t>
      </w:r>
      <w:r w:rsidR="009162C4">
        <w:rPr>
          <w:rFonts w:cstheme="minorHAnsi"/>
          <w:lang w:val="de-DE"/>
        </w:rPr>
        <w:t>24</w:t>
      </w:r>
      <w:r w:rsidR="00521644">
        <w:rPr>
          <w:rFonts w:cstheme="minorHAnsi"/>
          <w:lang w:val="de-DE"/>
        </w:rPr>
        <w:t xml:space="preserve">. </w:t>
      </w:r>
      <w:r w:rsidR="009162C4">
        <w:rPr>
          <w:rFonts w:cstheme="minorHAnsi"/>
          <w:lang w:val="de-DE"/>
        </w:rPr>
        <w:t>September</w:t>
      </w:r>
      <w:r w:rsidR="00521644">
        <w:rPr>
          <w:rFonts w:cstheme="minorHAnsi"/>
          <w:lang w:val="de-DE"/>
        </w:rPr>
        <w:t xml:space="preserve"> 201</w:t>
      </w:r>
      <w:r w:rsidR="00FE4B42">
        <w:rPr>
          <w:rFonts w:cstheme="minorHAnsi"/>
          <w:lang w:val="de-DE"/>
        </w:rPr>
        <w:t>9</w:t>
      </w:r>
    </w:p>
    <w:p w14:paraId="5D8CC0E0" w14:textId="77777777" w:rsidR="008A2143" w:rsidRDefault="008A2143">
      <w:pPr>
        <w:rPr>
          <w:rFonts w:cstheme="minorHAnsi"/>
          <w:u w:val="single"/>
          <w:lang w:val="de-DE"/>
        </w:rPr>
      </w:pPr>
    </w:p>
    <w:p w14:paraId="7BD03BFF" w14:textId="77777777" w:rsidR="00236125" w:rsidRPr="00236125" w:rsidRDefault="00236125">
      <w:pPr>
        <w:rPr>
          <w:rFonts w:cstheme="minorHAnsi"/>
          <w:lang w:val="de-DE"/>
        </w:rPr>
      </w:pPr>
      <w:r w:rsidRPr="00236125">
        <w:rPr>
          <w:rFonts w:cstheme="minorHAnsi"/>
          <w:lang w:val="de-DE"/>
        </w:rPr>
        <w:t xml:space="preserve">Achtung: </w:t>
      </w:r>
      <w:r>
        <w:rPr>
          <w:rFonts w:cstheme="minorHAnsi"/>
          <w:lang w:val="de-DE"/>
        </w:rPr>
        <w:t xml:space="preserve">Dieses Dokument entspricht unseren Planungen vor Semesterbeginn; es wird </w:t>
      </w:r>
      <w:r w:rsidRPr="00236125">
        <w:rPr>
          <w:rFonts w:cstheme="minorHAnsi"/>
          <w:b/>
          <w:lang w:val="de-DE"/>
        </w:rPr>
        <w:t>nicht</w:t>
      </w:r>
      <w:r>
        <w:rPr>
          <w:rFonts w:cstheme="minorHAnsi"/>
          <w:lang w:val="de-DE"/>
        </w:rPr>
        <w:t xml:space="preserve"> regelmäßig aktualisiert. Für kurzfristige räumliche oder zeitliche Änderungen siehe Campus. Inhaltliche Änderungen werden in der Veranstaltung besprochen und ggf. auf Ilias kommuniziert.</w:t>
      </w:r>
    </w:p>
    <w:p w14:paraId="7E9A91AE" w14:textId="77777777" w:rsidR="00236125" w:rsidRPr="00DB6F3D" w:rsidRDefault="00236125">
      <w:pPr>
        <w:rPr>
          <w:rFonts w:cstheme="minorHAnsi"/>
          <w:u w:val="single"/>
          <w:lang w:val="de-DE"/>
        </w:rPr>
      </w:pPr>
    </w:p>
    <w:p w14:paraId="0AD3BDB8" w14:textId="77777777" w:rsidR="00640B80" w:rsidRPr="0077737A" w:rsidRDefault="00640B80" w:rsidP="00640B80">
      <w:pPr>
        <w:rPr>
          <w:u w:val="single"/>
          <w:lang w:val="de-DE"/>
        </w:rPr>
      </w:pPr>
      <w:r w:rsidRPr="0077737A">
        <w:rPr>
          <w:u w:val="single"/>
          <w:lang w:val="de-DE"/>
        </w:rPr>
        <w:t>Kontext</w:t>
      </w:r>
    </w:p>
    <w:p w14:paraId="7821F8E8" w14:textId="0743641F" w:rsidR="00640B80" w:rsidRDefault="00640B80" w:rsidP="00640B80">
      <w:pPr>
        <w:rPr>
          <w:lang w:val="de-DE"/>
        </w:rPr>
      </w:pPr>
      <w:r>
        <w:rPr>
          <w:lang w:val="de-DE"/>
        </w:rPr>
        <w:t>Veranstaltung jedes</w:t>
      </w:r>
      <w:r w:rsidRPr="0077737A">
        <w:rPr>
          <w:lang w:val="de-DE"/>
        </w:rPr>
        <w:t xml:space="preserve"> </w:t>
      </w:r>
      <w:r w:rsidR="00D70D11">
        <w:rPr>
          <w:lang w:val="de-DE"/>
        </w:rPr>
        <w:t>Winter</w:t>
      </w:r>
      <w:r w:rsidRPr="0077737A">
        <w:rPr>
          <w:lang w:val="de-DE"/>
        </w:rPr>
        <w:t>semester</w:t>
      </w:r>
      <w:r>
        <w:rPr>
          <w:lang w:val="de-DE"/>
        </w:rPr>
        <w:t>; Dauer: ein Semester</w:t>
      </w:r>
      <w:r w:rsidRPr="0077737A">
        <w:rPr>
          <w:lang w:val="de-DE"/>
        </w:rPr>
        <w:t>.</w:t>
      </w:r>
    </w:p>
    <w:p w14:paraId="4A56DDE8" w14:textId="36EDF60C" w:rsidR="00640B80" w:rsidRPr="0077737A" w:rsidRDefault="00640B80" w:rsidP="00640B80">
      <w:pPr>
        <w:rPr>
          <w:lang w:val="de-DE"/>
        </w:rPr>
      </w:pPr>
      <w:r>
        <w:rPr>
          <w:lang w:val="de-DE"/>
        </w:rPr>
        <w:t xml:space="preserve">Drei Leistungspunkte; </w:t>
      </w:r>
      <w:r w:rsidR="000A6E18">
        <w:rPr>
          <w:lang w:val="de-DE"/>
        </w:rPr>
        <w:t xml:space="preserve">in der Regel, </w:t>
      </w:r>
      <w:r>
        <w:rPr>
          <w:lang w:val="de-DE"/>
        </w:rPr>
        <w:t>zwei Stunden Veranstaltung pro Woche.</w:t>
      </w:r>
    </w:p>
    <w:p w14:paraId="018BF06A" w14:textId="77777777" w:rsidR="00640B80" w:rsidRPr="0077737A" w:rsidRDefault="00640B80" w:rsidP="00640B80">
      <w:pPr>
        <w:rPr>
          <w:lang w:val="de-DE"/>
        </w:rPr>
      </w:pPr>
      <w:r w:rsidRPr="0077737A">
        <w:rPr>
          <w:lang w:val="de-DE"/>
        </w:rPr>
        <w:t>Modulkoordinator und Dozent: Prof</w:t>
      </w:r>
      <w:r>
        <w:rPr>
          <w:lang w:val="de-DE"/>
        </w:rPr>
        <w:t>.</w:t>
      </w:r>
      <w:r w:rsidRPr="0077737A">
        <w:rPr>
          <w:lang w:val="de-DE"/>
        </w:rPr>
        <w:t xml:space="preserve"> Dr</w:t>
      </w:r>
      <w:r>
        <w:rPr>
          <w:lang w:val="de-DE"/>
        </w:rPr>
        <w:t>.</w:t>
      </w:r>
      <w:r w:rsidRPr="0077737A">
        <w:rPr>
          <w:lang w:val="de-DE"/>
        </w:rPr>
        <w:t xml:space="preserve"> Andreas Größler</w:t>
      </w:r>
    </w:p>
    <w:p w14:paraId="7092D1E5" w14:textId="1809CB30" w:rsidR="00640B80" w:rsidRPr="0077737A" w:rsidRDefault="00684B90" w:rsidP="00640B80">
      <w:pPr>
        <w:rPr>
          <w:lang w:val="de-DE"/>
        </w:rPr>
      </w:pPr>
      <w:r>
        <w:rPr>
          <w:lang w:val="de-DE"/>
        </w:rPr>
        <w:t>Interdisziplinäre Schlüsselqualifikations-Veranstaltung für Studierende aller Fachrichtungen</w:t>
      </w:r>
      <w:r w:rsidR="00640B80" w:rsidRPr="0077737A">
        <w:rPr>
          <w:lang w:val="de-DE"/>
        </w:rPr>
        <w:t>.</w:t>
      </w:r>
    </w:p>
    <w:p w14:paraId="4B8B31A8" w14:textId="77777777" w:rsidR="00640B80" w:rsidRPr="0077737A" w:rsidRDefault="00640B80" w:rsidP="00640B80">
      <w:pPr>
        <w:rPr>
          <w:lang w:val="de-DE"/>
        </w:rPr>
      </w:pPr>
    </w:p>
    <w:p w14:paraId="35FCDBF7" w14:textId="77777777" w:rsidR="00C72B84" w:rsidRPr="00DB6F3D" w:rsidRDefault="008A2143">
      <w:pPr>
        <w:rPr>
          <w:rFonts w:cstheme="minorHAnsi"/>
          <w:u w:val="single"/>
          <w:lang w:val="de-DE"/>
        </w:rPr>
      </w:pPr>
      <w:r w:rsidRPr="00DB6F3D">
        <w:rPr>
          <w:rFonts w:cstheme="minorHAnsi"/>
          <w:u w:val="single"/>
          <w:lang w:val="de-DE"/>
        </w:rPr>
        <w:t>Lernziele</w:t>
      </w:r>
    </w:p>
    <w:p w14:paraId="408F55B7" w14:textId="77777777" w:rsidR="00931A40" w:rsidRPr="00DB6F3D" w:rsidRDefault="00931A40" w:rsidP="00931A40">
      <w:pPr>
        <w:rPr>
          <w:rFonts w:cstheme="minorHAnsi"/>
          <w:lang w:val="de-DE"/>
        </w:rPr>
      </w:pPr>
      <w:r w:rsidRPr="00DB6F3D">
        <w:rPr>
          <w:rFonts w:cstheme="minorHAnsi"/>
          <w:lang w:val="de-DE"/>
        </w:rPr>
        <w:t>Nach erfolgreichem Abschluss des Kurses können Studierende:</w:t>
      </w:r>
    </w:p>
    <w:p w14:paraId="55D83627" w14:textId="731301C3" w:rsidR="00F17C37" w:rsidRPr="00F17C37" w:rsidRDefault="00F17C37" w:rsidP="00F17C37">
      <w:pPr>
        <w:pStyle w:val="Listenabsatz"/>
        <w:numPr>
          <w:ilvl w:val="0"/>
          <w:numId w:val="4"/>
        </w:numPr>
        <w:spacing w:before="15" w:after="15" w:line="336" w:lineRule="atLeast"/>
        <w:ind w:right="15"/>
        <w:rPr>
          <w:lang w:val="de-DE"/>
        </w:rPr>
      </w:pPr>
      <w:r>
        <w:rPr>
          <w:lang w:val="de-DE"/>
        </w:rPr>
        <w:t>eine</w:t>
      </w:r>
      <w:r w:rsidRPr="00F17C37">
        <w:rPr>
          <w:lang w:val="de-DE"/>
        </w:rPr>
        <w:t xml:space="preserve"> kritische Haltung ge</w:t>
      </w:r>
      <w:r w:rsidR="00485C23">
        <w:rPr>
          <w:lang w:val="de-DE"/>
        </w:rPr>
        <w:t>genüber scheinbar unumstößliche</w:t>
      </w:r>
      <w:bookmarkStart w:id="0" w:name="_GoBack"/>
      <w:bookmarkEnd w:id="0"/>
      <w:r w:rsidRPr="00F17C37">
        <w:rPr>
          <w:lang w:val="de-DE"/>
        </w:rPr>
        <w:t xml:space="preserve"> Wahrheiten</w:t>
      </w:r>
      <w:r>
        <w:rPr>
          <w:lang w:val="de-DE"/>
        </w:rPr>
        <w:t xml:space="preserve"> einnehmen</w:t>
      </w:r>
    </w:p>
    <w:p w14:paraId="62A26CDA" w14:textId="77777777" w:rsidR="00F17C37" w:rsidRPr="00F17C37" w:rsidRDefault="00F17C37" w:rsidP="00F17C37">
      <w:pPr>
        <w:pStyle w:val="Listenabsatz"/>
        <w:numPr>
          <w:ilvl w:val="0"/>
          <w:numId w:val="4"/>
        </w:numPr>
        <w:spacing w:before="15" w:after="15" w:line="336" w:lineRule="atLeast"/>
        <w:ind w:right="15"/>
        <w:rPr>
          <w:lang w:val="de-DE"/>
        </w:rPr>
      </w:pPr>
      <w:r>
        <w:rPr>
          <w:lang w:val="de-DE"/>
        </w:rPr>
        <w:t>schwachsinnige</w:t>
      </w:r>
      <w:r w:rsidRPr="00F17C37">
        <w:rPr>
          <w:lang w:val="de-DE"/>
        </w:rPr>
        <w:t xml:space="preserve"> Aussagen</w:t>
      </w:r>
      <w:r>
        <w:rPr>
          <w:lang w:val="de-DE"/>
        </w:rPr>
        <w:t xml:space="preserve"> erkennen und bewerten</w:t>
      </w:r>
    </w:p>
    <w:p w14:paraId="0C36DC9D" w14:textId="49CD3545" w:rsidR="00F17C37" w:rsidRPr="00F17C37" w:rsidRDefault="00F17C37" w:rsidP="00F17C37">
      <w:pPr>
        <w:pStyle w:val="Listenabsatz"/>
        <w:numPr>
          <w:ilvl w:val="0"/>
          <w:numId w:val="4"/>
        </w:numPr>
        <w:spacing w:before="15" w:after="15" w:line="336" w:lineRule="atLeast"/>
        <w:ind w:right="15"/>
        <w:rPr>
          <w:lang w:val="de-DE"/>
        </w:rPr>
      </w:pPr>
      <w:r w:rsidRPr="00F17C37">
        <w:rPr>
          <w:lang w:val="de-DE"/>
        </w:rPr>
        <w:t>logische und statistische Widersprüche</w:t>
      </w:r>
      <w:r>
        <w:rPr>
          <w:lang w:val="de-DE"/>
        </w:rPr>
        <w:t xml:space="preserve"> erklären</w:t>
      </w:r>
    </w:p>
    <w:p w14:paraId="2FBA185A" w14:textId="77777777" w:rsidR="00F17C37" w:rsidRPr="00F17C37" w:rsidRDefault="00F17C37" w:rsidP="00F17C37">
      <w:pPr>
        <w:pStyle w:val="Listenabsatz"/>
        <w:numPr>
          <w:ilvl w:val="0"/>
          <w:numId w:val="4"/>
        </w:numPr>
        <w:spacing w:before="15" w:after="15" w:line="336" w:lineRule="atLeast"/>
        <w:ind w:right="15"/>
        <w:rPr>
          <w:lang w:val="de-DE"/>
        </w:rPr>
      </w:pPr>
      <w:r>
        <w:rPr>
          <w:lang w:val="de-DE"/>
        </w:rPr>
        <w:t>über</w:t>
      </w:r>
      <w:r w:rsidRPr="00F17C37">
        <w:rPr>
          <w:lang w:val="de-DE"/>
        </w:rPr>
        <w:t xml:space="preserve"> Aufgaben und Nutzen von Wissenschaft</w:t>
      </w:r>
      <w:r>
        <w:rPr>
          <w:lang w:val="de-DE"/>
        </w:rPr>
        <w:t xml:space="preserve"> reflektieren</w:t>
      </w:r>
    </w:p>
    <w:p w14:paraId="1144F9B5" w14:textId="77777777" w:rsidR="008A2143" w:rsidRPr="00DB6F3D" w:rsidRDefault="008A2143">
      <w:pPr>
        <w:rPr>
          <w:rFonts w:cstheme="minorHAnsi"/>
          <w:lang w:val="de-DE"/>
        </w:rPr>
      </w:pPr>
    </w:p>
    <w:p w14:paraId="1E2C5365" w14:textId="77777777" w:rsidR="008A2143" w:rsidRPr="00DB6F3D" w:rsidRDefault="008A2143">
      <w:pPr>
        <w:rPr>
          <w:rFonts w:cstheme="minorHAnsi"/>
          <w:u w:val="single"/>
          <w:lang w:val="de-DE"/>
        </w:rPr>
      </w:pPr>
      <w:r w:rsidRPr="00DB6F3D">
        <w:rPr>
          <w:rFonts w:cstheme="minorHAnsi"/>
          <w:u w:val="single"/>
          <w:lang w:val="de-DE"/>
        </w:rPr>
        <w:t>Inhalt</w:t>
      </w:r>
    </w:p>
    <w:p w14:paraId="25881DD6" w14:textId="77777777" w:rsidR="008A2143" w:rsidRPr="0094099E" w:rsidRDefault="0094099E">
      <w:pPr>
        <w:rPr>
          <w:rFonts w:cstheme="minorHAnsi"/>
          <w:lang w:val="de-DE"/>
        </w:rPr>
      </w:pPr>
      <w:r w:rsidRPr="0094099E">
        <w:rPr>
          <w:lang w:val="de-DE"/>
        </w:rPr>
        <w:t xml:space="preserve">Basierend auf einer Veranstaltung an der University </w:t>
      </w:r>
      <w:proofErr w:type="spellStart"/>
      <w:r w:rsidRPr="0094099E">
        <w:rPr>
          <w:lang w:val="de-DE"/>
        </w:rPr>
        <w:t>of</w:t>
      </w:r>
      <w:proofErr w:type="spellEnd"/>
      <w:r w:rsidRPr="0094099E">
        <w:rPr>
          <w:lang w:val="de-DE"/>
        </w:rPr>
        <w:t xml:space="preserve"> Washington („Calling Bullshit in </w:t>
      </w:r>
      <w:proofErr w:type="spellStart"/>
      <w:r w:rsidRPr="0094099E">
        <w:rPr>
          <w:lang w:val="de-DE"/>
        </w:rPr>
        <w:t>the</w:t>
      </w:r>
      <w:proofErr w:type="spellEnd"/>
      <w:r w:rsidRPr="0094099E">
        <w:rPr>
          <w:lang w:val="de-DE"/>
        </w:rPr>
        <w:t xml:space="preserve"> Age </w:t>
      </w:r>
      <w:proofErr w:type="spellStart"/>
      <w:r w:rsidRPr="0094099E">
        <w:rPr>
          <w:lang w:val="de-DE"/>
        </w:rPr>
        <w:t>of</w:t>
      </w:r>
      <w:proofErr w:type="spellEnd"/>
      <w:r w:rsidRPr="0094099E">
        <w:rPr>
          <w:lang w:val="de-DE"/>
        </w:rPr>
        <w:t xml:space="preserve"> Big Data“) von </w:t>
      </w:r>
      <w:proofErr w:type="spellStart"/>
      <w:r w:rsidRPr="0094099E">
        <w:rPr>
          <w:lang w:val="de-DE"/>
        </w:rPr>
        <w:t>Bergstrom&amp;West</w:t>
      </w:r>
      <w:proofErr w:type="spellEnd"/>
      <w:r w:rsidRPr="0094099E">
        <w:rPr>
          <w:lang w:val="de-DE"/>
        </w:rPr>
        <w:t xml:space="preserve"> werden im Seminar unterschiedliche Formen von logisch und statistisch inkonsistenten Aussagen untersucht. Die Veranstaltung ist an den deutschen Kontext adaptiert und berücksichtigt auch die Beweggründe, die zu schwachsinnigen Aussagen geführt haben könnten.</w:t>
      </w:r>
    </w:p>
    <w:p w14:paraId="71ED73E7" w14:textId="77777777" w:rsidR="00931A40" w:rsidRPr="00DB6F3D" w:rsidRDefault="00931A40">
      <w:pPr>
        <w:rPr>
          <w:rFonts w:cstheme="minorHAnsi"/>
          <w:lang w:val="de-DE"/>
        </w:rPr>
      </w:pPr>
    </w:p>
    <w:p w14:paraId="3D846AF7" w14:textId="77777777" w:rsidR="00FF0FAD" w:rsidRDefault="0094099E" w:rsidP="00FF0FAD">
      <w:pPr>
        <w:rPr>
          <w:rFonts w:cstheme="minorHAnsi"/>
          <w:u w:val="single"/>
          <w:lang w:val="de-DE"/>
        </w:rPr>
      </w:pPr>
      <w:r>
        <w:rPr>
          <w:rFonts w:cstheme="minorHAnsi"/>
          <w:u w:val="single"/>
          <w:lang w:val="de-DE"/>
        </w:rPr>
        <w:t>Veranstaltungsplan</w:t>
      </w:r>
    </w:p>
    <w:p w14:paraId="1C085DEC" w14:textId="2F2B95FD" w:rsidR="00F73732" w:rsidRPr="00F73732" w:rsidRDefault="0094099E" w:rsidP="00FF0FAD">
      <w:pPr>
        <w:rPr>
          <w:rFonts w:cstheme="minorHAnsi"/>
          <w:lang w:val="de-DE"/>
        </w:rPr>
      </w:pPr>
      <w:r>
        <w:rPr>
          <w:rFonts w:cstheme="minorHAnsi"/>
          <w:lang w:val="de-DE"/>
        </w:rPr>
        <w:t xml:space="preserve">Die Veranstaltung findet donnerstags von 14:00 bis 15:30 Uhr </w:t>
      </w:r>
      <w:r w:rsidRPr="009A440A">
        <w:rPr>
          <w:rFonts w:cstheme="minorHAnsi"/>
          <w:lang w:val="de-DE"/>
        </w:rPr>
        <w:t>in M 17.92</w:t>
      </w:r>
      <w:r>
        <w:rPr>
          <w:rFonts w:cstheme="minorHAnsi"/>
          <w:lang w:val="de-DE"/>
        </w:rPr>
        <w:t xml:space="preserve"> statt.</w:t>
      </w:r>
    </w:p>
    <w:tbl>
      <w:tblPr>
        <w:tblStyle w:val="Tabellenraster"/>
        <w:tblW w:w="0" w:type="auto"/>
        <w:tblLook w:val="04A0" w:firstRow="1" w:lastRow="0" w:firstColumn="1" w:lastColumn="0" w:noHBand="0" w:noVBand="1"/>
      </w:tblPr>
      <w:tblGrid>
        <w:gridCol w:w="1413"/>
        <w:gridCol w:w="4819"/>
        <w:gridCol w:w="2835"/>
      </w:tblGrid>
      <w:tr w:rsidR="0094099E" w:rsidRPr="00DB6F3D" w14:paraId="3B0B90C7" w14:textId="77777777" w:rsidTr="00A4251A">
        <w:tc>
          <w:tcPr>
            <w:tcW w:w="1413" w:type="dxa"/>
          </w:tcPr>
          <w:p w14:paraId="0807F88F" w14:textId="77777777" w:rsidR="0094099E" w:rsidRPr="00DB6F3D" w:rsidRDefault="0094099E" w:rsidP="00FF0FAD">
            <w:pPr>
              <w:rPr>
                <w:rFonts w:cstheme="minorHAnsi"/>
                <w:b/>
                <w:lang w:val="de-DE"/>
              </w:rPr>
            </w:pPr>
            <w:r w:rsidRPr="00DB6F3D">
              <w:rPr>
                <w:rFonts w:cstheme="minorHAnsi"/>
                <w:b/>
                <w:lang w:val="de-DE"/>
              </w:rPr>
              <w:t>Datum</w:t>
            </w:r>
          </w:p>
        </w:tc>
        <w:tc>
          <w:tcPr>
            <w:tcW w:w="4819" w:type="dxa"/>
          </w:tcPr>
          <w:p w14:paraId="34D746EA" w14:textId="77777777" w:rsidR="0094099E" w:rsidRPr="00DB6F3D" w:rsidRDefault="0094099E" w:rsidP="00FF0FAD">
            <w:pPr>
              <w:rPr>
                <w:rFonts w:cstheme="minorHAnsi"/>
                <w:b/>
                <w:lang w:val="de-DE"/>
              </w:rPr>
            </w:pPr>
            <w:r w:rsidRPr="00DB6F3D">
              <w:rPr>
                <w:rFonts w:cstheme="minorHAnsi"/>
                <w:b/>
                <w:lang w:val="de-DE"/>
              </w:rPr>
              <w:t>Thema</w:t>
            </w:r>
          </w:p>
        </w:tc>
        <w:tc>
          <w:tcPr>
            <w:tcW w:w="2835" w:type="dxa"/>
          </w:tcPr>
          <w:p w14:paraId="41C844FE" w14:textId="77777777" w:rsidR="0094099E" w:rsidRPr="00DB6F3D" w:rsidRDefault="00296EC5" w:rsidP="00FF0FAD">
            <w:pPr>
              <w:rPr>
                <w:rFonts w:cstheme="minorHAnsi"/>
                <w:b/>
                <w:lang w:val="de-DE"/>
              </w:rPr>
            </w:pPr>
            <w:r>
              <w:rPr>
                <w:rFonts w:cstheme="minorHAnsi"/>
                <w:b/>
                <w:lang w:val="de-DE"/>
              </w:rPr>
              <w:t xml:space="preserve">Verpflichtende </w:t>
            </w:r>
            <w:r w:rsidR="0094099E" w:rsidRPr="00DB6F3D">
              <w:rPr>
                <w:rFonts w:cstheme="minorHAnsi"/>
                <w:b/>
                <w:lang w:val="de-DE"/>
              </w:rPr>
              <w:t>Literatur</w:t>
            </w:r>
          </w:p>
        </w:tc>
      </w:tr>
      <w:tr w:rsidR="0094099E" w:rsidRPr="000E5FC4" w14:paraId="6FB84FB1" w14:textId="77777777" w:rsidTr="00A4251A">
        <w:tc>
          <w:tcPr>
            <w:tcW w:w="1413" w:type="dxa"/>
          </w:tcPr>
          <w:p w14:paraId="45BDE73A" w14:textId="0DE3E869" w:rsidR="0094099E" w:rsidRPr="00DB6F3D" w:rsidRDefault="00FE4B42" w:rsidP="00FE4B42">
            <w:pPr>
              <w:rPr>
                <w:rFonts w:cstheme="minorHAnsi"/>
                <w:lang w:val="en-GB"/>
              </w:rPr>
            </w:pPr>
            <w:r>
              <w:rPr>
                <w:rFonts w:cstheme="minorHAnsi"/>
                <w:lang w:val="en-GB"/>
              </w:rPr>
              <w:t>17</w:t>
            </w:r>
            <w:r w:rsidR="0094099E">
              <w:rPr>
                <w:rFonts w:cstheme="minorHAnsi"/>
                <w:lang w:val="en-GB"/>
              </w:rPr>
              <w:t>.10.201</w:t>
            </w:r>
            <w:r>
              <w:rPr>
                <w:rFonts w:cstheme="minorHAnsi"/>
                <w:lang w:val="en-GB"/>
              </w:rPr>
              <w:t>9</w:t>
            </w:r>
          </w:p>
        </w:tc>
        <w:tc>
          <w:tcPr>
            <w:tcW w:w="4819" w:type="dxa"/>
          </w:tcPr>
          <w:p w14:paraId="215C7A1C" w14:textId="3A273683" w:rsidR="0094099E" w:rsidRPr="00DB6F3D" w:rsidRDefault="0094099E" w:rsidP="00D35DFD">
            <w:pPr>
              <w:rPr>
                <w:rFonts w:cstheme="minorHAnsi"/>
                <w:lang w:val="de-DE"/>
              </w:rPr>
            </w:pPr>
            <w:r w:rsidRPr="00DB6F3D">
              <w:rPr>
                <w:rFonts w:cstheme="minorHAnsi"/>
                <w:lang w:val="de-DE"/>
              </w:rPr>
              <w:t xml:space="preserve">Organisatorisches; Vorstellung des Lehrstuhls; </w:t>
            </w:r>
            <w:r w:rsidR="000E5FC4">
              <w:rPr>
                <w:rFonts w:cstheme="minorHAnsi"/>
                <w:lang w:val="de-DE"/>
              </w:rPr>
              <w:t>Einführung „Schwachsinn/Bullshit“</w:t>
            </w:r>
            <w:r w:rsidR="000058E1">
              <w:rPr>
                <w:rFonts w:cstheme="minorHAnsi"/>
                <w:lang w:val="de-DE"/>
              </w:rPr>
              <w:t xml:space="preserve">; </w:t>
            </w:r>
            <w:r w:rsidR="00FE4B42">
              <w:rPr>
                <w:rFonts w:cstheme="minorHAnsi"/>
                <w:lang w:val="de-DE"/>
              </w:rPr>
              <w:t xml:space="preserve">Planung der </w:t>
            </w:r>
            <w:r w:rsidR="000058E1">
              <w:rPr>
                <w:rFonts w:cstheme="minorHAnsi"/>
                <w:lang w:val="de-DE"/>
              </w:rPr>
              <w:t>Präsentationen</w:t>
            </w:r>
          </w:p>
        </w:tc>
        <w:tc>
          <w:tcPr>
            <w:tcW w:w="2835" w:type="dxa"/>
          </w:tcPr>
          <w:p w14:paraId="73C53612" w14:textId="77777777" w:rsidR="0094099E" w:rsidRPr="00EE03F8" w:rsidRDefault="00A937B8" w:rsidP="00D35DFD">
            <w:pPr>
              <w:rPr>
                <w:rFonts w:cstheme="minorHAnsi"/>
                <w:lang w:val="de-DE"/>
              </w:rPr>
            </w:pPr>
            <w:r>
              <w:rPr>
                <w:rFonts w:cstheme="minorHAnsi"/>
                <w:lang w:val="de-DE"/>
              </w:rPr>
              <w:t>Frankfurt (1986)</w:t>
            </w:r>
          </w:p>
        </w:tc>
      </w:tr>
      <w:tr w:rsidR="0094099E" w:rsidRPr="00760C40" w14:paraId="59D19EBE" w14:textId="77777777" w:rsidTr="00A4251A">
        <w:tc>
          <w:tcPr>
            <w:tcW w:w="1413" w:type="dxa"/>
          </w:tcPr>
          <w:p w14:paraId="0CD61C96" w14:textId="1CC1A5A7" w:rsidR="0094099E" w:rsidRPr="004E796A" w:rsidRDefault="0094099E" w:rsidP="00BC19C3">
            <w:pPr>
              <w:rPr>
                <w:rFonts w:cstheme="minorHAnsi"/>
                <w:lang w:val="de-DE"/>
              </w:rPr>
            </w:pPr>
            <w:r>
              <w:rPr>
                <w:rFonts w:cstheme="minorHAnsi"/>
                <w:lang w:val="de-DE"/>
              </w:rPr>
              <w:t>0</w:t>
            </w:r>
            <w:r w:rsidR="00FE4B42">
              <w:rPr>
                <w:rFonts w:cstheme="minorHAnsi"/>
                <w:lang w:val="de-DE"/>
              </w:rPr>
              <w:t>7</w:t>
            </w:r>
            <w:r w:rsidR="009134C3">
              <w:rPr>
                <w:rFonts w:cstheme="minorHAnsi"/>
                <w:lang w:val="de-DE"/>
              </w:rPr>
              <w:t>.11.2019</w:t>
            </w:r>
          </w:p>
        </w:tc>
        <w:tc>
          <w:tcPr>
            <w:tcW w:w="4819" w:type="dxa"/>
          </w:tcPr>
          <w:p w14:paraId="0D134D89" w14:textId="77777777" w:rsidR="0094099E" w:rsidRPr="00DB6F3D" w:rsidRDefault="005B0BFE" w:rsidP="00BC19C3">
            <w:pPr>
              <w:rPr>
                <w:rFonts w:cstheme="minorHAnsi"/>
                <w:lang w:val="de-DE"/>
              </w:rPr>
            </w:pPr>
            <w:r>
              <w:rPr>
                <w:rFonts w:cstheme="minorHAnsi"/>
                <w:lang w:val="de-DE"/>
              </w:rPr>
              <w:t>Schwachsinn erkennen</w:t>
            </w:r>
          </w:p>
        </w:tc>
        <w:tc>
          <w:tcPr>
            <w:tcW w:w="2835" w:type="dxa"/>
          </w:tcPr>
          <w:p w14:paraId="3892263C" w14:textId="77777777" w:rsidR="0094099E" w:rsidRPr="00DB6F3D" w:rsidRDefault="0096396E" w:rsidP="00BC19C3">
            <w:pPr>
              <w:rPr>
                <w:rFonts w:cstheme="minorHAnsi"/>
                <w:lang w:val="de-DE"/>
              </w:rPr>
            </w:pPr>
            <w:r>
              <w:rPr>
                <w:rFonts w:cstheme="minorHAnsi"/>
                <w:lang w:val="de-DE"/>
              </w:rPr>
              <w:t>Sagan (1996)</w:t>
            </w:r>
          </w:p>
        </w:tc>
      </w:tr>
      <w:tr w:rsidR="0094099E" w:rsidRPr="00D3139A" w14:paraId="3A33B7D3" w14:textId="77777777" w:rsidTr="00A4251A">
        <w:tc>
          <w:tcPr>
            <w:tcW w:w="1413" w:type="dxa"/>
          </w:tcPr>
          <w:p w14:paraId="59C3BBC9" w14:textId="160EC20D" w:rsidR="0094099E" w:rsidRPr="00AC23E8" w:rsidRDefault="0094099E" w:rsidP="00D35DFD">
            <w:pPr>
              <w:rPr>
                <w:rFonts w:cstheme="minorHAnsi"/>
                <w:lang w:val="de-DE"/>
              </w:rPr>
            </w:pPr>
            <w:r>
              <w:rPr>
                <w:rFonts w:cstheme="minorHAnsi"/>
                <w:lang w:val="de-DE"/>
              </w:rPr>
              <w:t>1</w:t>
            </w:r>
            <w:r w:rsidR="00FE4B42">
              <w:rPr>
                <w:rFonts w:cstheme="minorHAnsi"/>
                <w:lang w:val="de-DE"/>
              </w:rPr>
              <w:t>4</w:t>
            </w:r>
            <w:r w:rsidR="009134C3">
              <w:rPr>
                <w:rFonts w:cstheme="minorHAnsi"/>
                <w:lang w:val="de-DE"/>
              </w:rPr>
              <w:t>.11.2019</w:t>
            </w:r>
          </w:p>
        </w:tc>
        <w:tc>
          <w:tcPr>
            <w:tcW w:w="4819" w:type="dxa"/>
          </w:tcPr>
          <w:p w14:paraId="4507E2EA" w14:textId="77777777" w:rsidR="0094099E" w:rsidRPr="00DB6F3D" w:rsidRDefault="005B0BFE" w:rsidP="00D35DFD">
            <w:pPr>
              <w:rPr>
                <w:rFonts w:cstheme="minorHAnsi"/>
                <w:lang w:val="de-DE"/>
              </w:rPr>
            </w:pPr>
            <w:r>
              <w:rPr>
                <w:rFonts w:cstheme="minorHAnsi"/>
                <w:lang w:val="de-DE"/>
              </w:rPr>
              <w:t>Das Habitat des Schwachsinns</w:t>
            </w:r>
          </w:p>
        </w:tc>
        <w:tc>
          <w:tcPr>
            <w:tcW w:w="2835" w:type="dxa"/>
          </w:tcPr>
          <w:p w14:paraId="5A98FD21" w14:textId="03084312" w:rsidR="0094099E" w:rsidRPr="00DB6F3D" w:rsidRDefault="000058E1" w:rsidP="00D35DFD">
            <w:pPr>
              <w:rPr>
                <w:rFonts w:cstheme="minorHAnsi"/>
                <w:lang w:val="de-DE"/>
              </w:rPr>
            </w:pPr>
            <w:proofErr w:type="spellStart"/>
            <w:r>
              <w:rPr>
                <w:lang w:val="de-DE"/>
              </w:rPr>
              <w:t>Friggeri</w:t>
            </w:r>
            <w:proofErr w:type="spellEnd"/>
            <w:r>
              <w:rPr>
                <w:lang w:val="de-DE"/>
              </w:rPr>
              <w:t xml:space="preserve"> et al. (2014)</w:t>
            </w:r>
          </w:p>
        </w:tc>
      </w:tr>
      <w:tr w:rsidR="0094099E" w:rsidRPr="002766FF" w14:paraId="5FF0C27B" w14:textId="77777777" w:rsidTr="00A4251A">
        <w:tc>
          <w:tcPr>
            <w:tcW w:w="1413" w:type="dxa"/>
          </w:tcPr>
          <w:p w14:paraId="6D1FF583" w14:textId="3371F448" w:rsidR="0094099E" w:rsidRPr="00645861" w:rsidRDefault="0094099E" w:rsidP="00D35DFD">
            <w:pPr>
              <w:rPr>
                <w:rFonts w:cstheme="minorHAnsi"/>
                <w:lang w:val="de-DE"/>
              </w:rPr>
            </w:pPr>
            <w:r>
              <w:rPr>
                <w:rFonts w:cstheme="minorHAnsi"/>
                <w:lang w:val="de-DE"/>
              </w:rPr>
              <w:lastRenderedPageBreak/>
              <w:t>2</w:t>
            </w:r>
            <w:r w:rsidR="00FE4B42">
              <w:rPr>
                <w:rFonts w:cstheme="minorHAnsi"/>
                <w:lang w:val="de-DE"/>
              </w:rPr>
              <w:t>1</w:t>
            </w:r>
            <w:r w:rsidR="009134C3">
              <w:rPr>
                <w:rFonts w:cstheme="minorHAnsi"/>
                <w:lang w:val="de-DE"/>
              </w:rPr>
              <w:t>.11.2019</w:t>
            </w:r>
          </w:p>
        </w:tc>
        <w:tc>
          <w:tcPr>
            <w:tcW w:w="4819" w:type="dxa"/>
          </w:tcPr>
          <w:p w14:paraId="7E1A96F3" w14:textId="77777777" w:rsidR="0094099E" w:rsidRPr="001709CA" w:rsidRDefault="00106992" w:rsidP="00D35DFD">
            <w:pPr>
              <w:rPr>
                <w:rFonts w:cstheme="minorHAnsi"/>
                <w:lang w:val="de-DE"/>
              </w:rPr>
            </w:pPr>
            <w:r>
              <w:rPr>
                <w:rFonts w:cstheme="minorHAnsi"/>
                <w:lang w:val="de-DE"/>
              </w:rPr>
              <w:t>Kausalität</w:t>
            </w:r>
          </w:p>
        </w:tc>
        <w:tc>
          <w:tcPr>
            <w:tcW w:w="2835" w:type="dxa"/>
          </w:tcPr>
          <w:p w14:paraId="5D1DEBED" w14:textId="77777777" w:rsidR="0094099E" w:rsidRPr="001709CA" w:rsidRDefault="00AA6BD0" w:rsidP="00D35DFD">
            <w:pPr>
              <w:rPr>
                <w:rFonts w:cstheme="minorHAnsi"/>
                <w:lang w:val="de-DE"/>
              </w:rPr>
            </w:pPr>
            <w:r>
              <w:rPr>
                <w:rFonts w:cstheme="minorHAnsi"/>
                <w:lang w:val="de-DE"/>
              </w:rPr>
              <w:t>Matthews (2000)</w:t>
            </w:r>
          </w:p>
        </w:tc>
      </w:tr>
      <w:tr w:rsidR="0094099E" w:rsidRPr="00D3139A" w14:paraId="50616017" w14:textId="77777777" w:rsidTr="00A4251A">
        <w:tc>
          <w:tcPr>
            <w:tcW w:w="1413" w:type="dxa"/>
          </w:tcPr>
          <w:p w14:paraId="3261CB4A" w14:textId="26244ABD" w:rsidR="0094099E" w:rsidRPr="00DB6F3D" w:rsidRDefault="00FE4B42" w:rsidP="00D35DFD">
            <w:pPr>
              <w:rPr>
                <w:rFonts w:cstheme="minorHAnsi"/>
                <w:lang w:val="de-DE"/>
              </w:rPr>
            </w:pPr>
            <w:r>
              <w:rPr>
                <w:rFonts w:cstheme="minorHAnsi"/>
                <w:lang w:val="de-DE"/>
              </w:rPr>
              <w:t>28</w:t>
            </w:r>
            <w:r w:rsidR="009134C3">
              <w:rPr>
                <w:rFonts w:cstheme="minorHAnsi"/>
                <w:lang w:val="de-DE"/>
              </w:rPr>
              <w:t>.11.2019</w:t>
            </w:r>
          </w:p>
        </w:tc>
        <w:tc>
          <w:tcPr>
            <w:tcW w:w="4819" w:type="dxa"/>
          </w:tcPr>
          <w:p w14:paraId="6CC0B138" w14:textId="77777777" w:rsidR="0094099E" w:rsidRPr="00DB6F3D" w:rsidRDefault="00106992" w:rsidP="00D35DFD">
            <w:pPr>
              <w:rPr>
                <w:rFonts w:cstheme="minorHAnsi"/>
                <w:lang w:val="de-DE"/>
              </w:rPr>
            </w:pPr>
            <w:r>
              <w:rPr>
                <w:rFonts w:cstheme="minorHAnsi"/>
                <w:lang w:val="de-DE"/>
              </w:rPr>
              <w:t>Statistische Fallen</w:t>
            </w:r>
          </w:p>
        </w:tc>
        <w:tc>
          <w:tcPr>
            <w:tcW w:w="2835" w:type="dxa"/>
          </w:tcPr>
          <w:p w14:paraId="375B9B4B" w14:textId="77777777" w:rsidR="0094099E" w:rsidRPr="008C5E71" w:rsidRDefault="00AA6BD0" w:rsidP="00D35DFD">
            <w:pPr>
              <w:rPr>
                <w:rFonts w:cstheme="minorHAnsi"/>
                <w:lang w:val="de-DE"/>
              </w:rPr>
            </w:pPr>
            <w:r w:rsidRPr="008C5E71">
              <w:rPr>
                <w:rFonts w:cstheme="minorHAnsi"/>
                <w:lang w:val="de-DE"/>
              </w:rPr>
              <w:t>Feinstein et al. (1985)</w:t>
            </w:r>
          </w:p>
        </w:tc>
      </w:tr>
      <w:tr w:rsidR="0094099E" w:rsidRPr="002766FF" w14:paraId="3B683324" w14:textId="77777777" w:rsidTr="00A4251A">
        <w:tc>
          <w:tcPr>
            <w:tcW w:w="1413" w:type="dxa"/>
          </w:tcPr>
          <w:p w14:paraId="42B03603" w14:textId="29A56B81" w:rsidR="0094099E" w:rsidRPr="00DB6F3D" w:rsidRDefault="0094099E" w:rsidP="00D35DFD">
            <w:pPr>
              <w:rPr>
                <w:rFonts w:cstheme="minorHAnsi"/>
                <w:lang w:val="de-DE"/>
              </w:rPr>
            </w:pPr>
            <w:r>
              <w:rPr>
                <w:rFonts w:cstheme="minorHAnsi"/>
                <w:lang w:val="de-DE"/>
              </w:rPr>
              <w:t>0</w:t>
            </w:r>
            <w:r w:rsidR="00FE4B42">
              <w:rPr>
                <w:rFonts w:cstheme="minorHAnsi"/>
                <w:lang w:val="de-DE"/>
              </w:rPr>
              <w:t>5</w:t>
            </w:r>
            <w:r w:rsidR="009134C3">
              <w:rPr>
                <w:rFonts w:cstheme="minorHAnsi"/>
                <w:lang w:val="de-DE"/>
              </w:rPr>
              <w:t>.12.2019</w:t>
            </w:r>
          </w:p>
        </w:tc>
        <w:tc>
          <w:tcPr>
            <w:tcW w:w="4819" w:type="dxa"/>
          </w:tcPr>
          <w:p w14:paraId="7D14DAE4" w14:textId="77777777" w:rsidR="0094099E" w:rsidRPr="00DB6F3D" w:rsidRDefault="00106992" w:rsidP="00D35DFD">
            <w:pPr>
              <w:rPr>
                <w:rFonts w:cstheme="minorHAnsi"/>
                <w:lang w:val="de-DE"/>
              </w:rPr>
            </w:pPr>
            <w:r>
              <w:rPr>
                <w:rFonts w:cstheme="minorHAnsi"/>
                <w:lang w:val="de-DE"/>
              </w:rPr>
              <w:t>Visualisierung von Daten</w:t>
            </w:r>
          </w:p>
        </w:tc>
        <w:tc>
          <w:tcPr>
            <w:tcW w:w="2835" w:type="dxa"/>
          </w:tcPr>
          <w:p w14:paraId="241E59CF" w14:textId="77777777" w:rsidR="0094099E" w:rsidRPr="008C5E71" w:rsidRDefault="00AA6BD0" w:rsidP="00D35DFD">
            <w:pPr>
              <w:rPr>
                <w:rFonts w:cstheme="minorHAnsi"/>
                <w:lang w:val="de-DE"/>
              </w:rPr>
            </w:pPr>
            <w:proofErr w:type="spellStart"/>
            <w:r w:rsidRPr="008C5E71">
              <w:rPr>
                <w:rFonts w:cstheme="minorHAnsi"/>
                <w:lang w:val="de-DE"/>
              </w:rPr>
              <w:t>Tufte</w:t>
            </w:r>
            <w:proofErr w:type="spellEnd"/>
            <w:r w:rsidRPr="008C5E71">
              <w:rPr>
                <w:rFonts w:cstheme="minorHAnsi"/>
                <w:lang w:val="de-DE"/>
              </w:rPr>
              <w:t xml:space="preserve"> (1983)</w:t>
            </w:r>
          </w:p>
        </w:tc>
      </w:tr>
      <w:tr w:rsidR="0094099E" w:rsidRPr="00AA6BD0" w14:paraId="340CB86F" w14:textId="77777777" w:rsidTr="00A4251A">
        <w:tc>
          <w:tcPr>
            <w:tcW w:w="1413" w:type="dxa"/>
          </w:tcPr>
          <w:p w14:paraId="277EB6DC" w14:textId="2914C952" w:rsidR="0094099E" w:rsidRPr="00DB6F3D" w:rsidRDefault="0094099E" w:rsidP="00D35DFD">
            <w:pPr>
              <w:rPr>
                <w:rFonts w:cstheme="minorHAnsi"/>
                <w:lang w:val="de-DE"/>
              </w:rPr>
            </w:pPr>
            <w:r>
              <w:rPr>
                <w:rFonts w:cstheme="minorHAnsi"/>
                <w:lang w:val="de-DE"/>
              </w:rPr>
              <w:t>1</w:t>
            </w:r>
            <w:r w:rsidR="00FE4B42">
              <w:rPr>
                <w:rFonts w:cstheme="minorHAnsi"/>
                <w:lang w:val="de-DE"/>
              </w:rPr>
              <w:t>2</w:t>
            </w:r>
            <w:r w:rsidR="009134C3">
              <w:rPr>
                <w:rFonts w:cstheme="minorHAnsi"/>
                <w:lang w:val="de-DE"/>
              </w:rPr>
              <w:t>.12.2019</w:t>
            </w:r>
          </w:p>
        </w:tc>
        <w:tc>
          <w:tcPr>
            <w:tcW w:w="4819" w:type="dxa"/>
          </w:tcPr>
          <w:p w14:paraId="4339D40A" w14:textId="77777777" w:rsidR="0094099E" w:rsidRPr="00DB6F3D" w:rsidRDefault="00106992" w:rsidP="00D35DFD">
            <w:pPr>
              <w:rPr>
                <w:rFonts w:cstheme="minorHAnsi"/>
                <w:lang w:val="de-DE"/>
              </w:rPr>
            </w:pPr>
            <w:r>
              <w:rPr>
                <w:rFonts w:cstheme="minorHAnsi"/>
                <w:lang w:val="de-DE"/>
              </w:rPr>
              <w:t>Big Data</w:t>
            </w:r>
          </w:p>
        </w:tc>
        <w:tc>
          <w:tcPr>
            <w:tcW w:w="2835" w:type="dxa"/>
          </w:tcPr>
          <w:p w14:paraId="1C884D5D" w14:textId="77777777" w:rsidR="0094099E" w:rsidRPr="008C5E71" w:rsidRDefault="002A7F9D" w:rsidP="00D35DFD">
            <w:pPr>
              <w:rPr>
                <w:rFonts w:cstheme="minorHAnsi"/>
                <w:lang w:val="de-DE"/>
              </w:rPr>
            </w:pPr>
            <w:proofErr w:type="spellStart"/>
            <w:r>
              <w:rPr>
                <w:rFonts w:cstheme="minorHAnsi"/>
                <w:lang w:val="de-DE"/>
              </w:rPr>
              <w:t>Lazer</w:t>
            </w:r>
            <w:proofErr w:type="spellEnd"/>
            <w:r>
              <w:rPr>
                <w:rFonts w:cstheme="minorHAnsi"/>
                <w:lang w:val="de-DE"/>
              </w:rPr>
              <w:t xml:space="preserve"> et al. (2014)</w:t>
            </w:r>
          </w:p>
        </w:tc>
      </w:tr>
      <w:tr w:rsidR="00FE4B42" w:rsidRPr="00AA6BD0" w14:paraId="1D06279C" w14:textId="77777777" w:rsidTr="00A4251A">
        <w:tc>
          <w:tcPr>
            <w:tcW w:w="1413" w:type="dxa"/>
          </w:tcPr>
          <w:p w14:paraId="5EDEC112" w14:textId="2DF6CDBA" w:rsidR="00FE4B42" w:rsidRDefault="009134C3" w:rsidP="00D35DFD">
            <w:pPr>
              <w:rPr>
                <w:rFonts w:cstheme="minorHAnsi"/>
                <w:lang w:val="de-DE"/>
              </w:rPr>
            </w:pPr>
            <w:r>
              <w:rPr>
                <w:rFonts w:cstheme="minorHAnsi"/>
                <w:lang w:val="de-DE"/>
              </w:rPr>
              <w:t>19.12.2019</w:t>
            </w:r>
          </w:p>
        </w:tc>
        <w:tc>
          <w:tcPr>
            <w:tcW w:w="4819" w:type="dxa"/>
          </w:tcPr>
          <w:p w14:paraId="22A1AA81" w14:textId="7C42BB4F" w:rsidR="00FE4B42" w:rsidRDefault="009134C3" w:rsidP="00D35DFD">
            <w:pPr>
              <w:rPr>
                <w:rFonts w:cstheme="minorHAnsi"/>
                <w:lang w:val="de-DE"/>
              </w:rPr>
            </w:pPr>
            <w:r>
              <w:rPr>
                <w:rFonts w:cstheme="minorHAnsi"/>
                <w:lang w:val="de-DE"/>
              </w:rPr>
              <w:t>Rationalität wirtschaftlichen Handelns</w:t>
            </w:r>
          </w:p>
        </w:tc>
        <w:tc>
          <w:tcPr>
            <w:tcW w:w="2835" w:type="dxa"/>
          </w:tcPr>
          <w:p w14:paraId="2F16E970" w14:textId="00C8FF99" w:rsidR="00FE4B42" w:rsidRDefault="009134C3" w:rsidP="00D35DFD">
            <w:pPr>
              <w:rPr>
                <w:rFonts w:cstheme="minorHAnsi"/>
                <w:lang w:val="de-DE"/>
              </w:rPr>
            </w:pPr>
            <w:proofErr w:type="spellStart"/>
            <w:r>
              <w:rPr>
                <w:rFonts w:cstheme="minorHAnsi"/>
                <w:lang w:val="de-DE"/>
              </w:rPr>
              <w:t>Sterman</w:t>
            </w:r>
            <w:proofErr w:type="spellEnd"/>
            <w:r>
              <w:rPr>
                <w:rFonts w:cstheme="minorHAnsi"/>
                <w:lang w:val="de-DE"/>
              </w:rPr>
              <w:t xml:space="preserve"> (2012)</w:t>
            </w:r>
          </w:p>
        </w:tc>
      </w:tr>
      <w:tr w:rsidR="0094099E" w:rsidRPr="00D3139A" w14:paraId="5F9B2923" w14:textId="77777777" w:rsidTr="00A4251A">
        <w:tc>
          <w:tcPr>
            <w:tcW w:w="1413" w:type="dxa"/>
          </w:tcPr>
          <w:p w14:paraId="670C5762" w14:textId="5C9636AF" w:rsidR="0094099E" w:rsidRPr="0094099E" w:rsidRDefault="00FE4B42" w:rsidP="00D35DFD">
            <w:pPr>
              <w:rPr>
                <w:rFonts w:cstheme="minorHAnsi"/>
                <w:lang w:val="de-DE"/>
              </w:rPr>
            </w:pPr>
            <w:r>
              <w:rPr>
                <w:rFonts w:cstheme="minorHAnsi"/>
                <w:lang w:val="de-DE"/>
              </w:rPr>
              <w:t>09.01.2020</w:t>
            </w:r>
          </w:p>
        </w:tc>
        <w:tc>
          <w:tcPr>
            <w:tcW w:w="4819" w:type="dxa"/>
          </w:tcPr>
          <w:p w14:paraId="5F813B5E" w14:textId="77777777" w:rsidR="0094099E" w:rsidRPr="0094099E" w:rsidRDefault="00106992" w:rsidP="00D35DFD">
            <w:pPr>
              <w:rPr>
                <w:rFonts w:cstheme="minorHAnsi"/>
                <w:lang w:val="de-DE"/>
              </w:rPr>
            </w:pPr>
            <w:r>
              <w:rPr>
                <w:rFonts w:cstheme="minorHAnsi"/>
                <w:lang w:val="de-DE"/>
              </w:rPr>
              <w:t>Veröffentlichungsverzerrungen</w:t>
            </w:r>
          </w:p>
        </w:tc>
        <w:tc>
          <w:tcPr>
            <w:tcW w:w="2835" w:type="dxa"/>
          </w:tcPr>
          <w:p w14:paraId="7BCF6D25" w14:textId="77777777" w:rsidR="0094099E" w:rsidRPr="008C5E71" w:rsidRDefault="00E20D4D" w:rsidP="00D35DFD">
            <w:pPr>
              <w:rPr>
                <w:rFonts w:cstheme="minorHAnsi"/>
                <w:lang w:val="de-DE"/>
              </w:rPr>
            </w:pPr>
            <w:proofErr w:type="spellStart"/>
            <w:r w:rsidRPr="008C5E71">
              <w:rPr>
                <w:rFonts w:cstheme="minorHAnsi"/>
                <w:lang w:val="de-DE"/>
              </w:rPr>
              <w:t>Ioannidis</w:t>
            </w:r>
            <w:proofErr w:type="spellEnd"/>
            <w:r w:rsidRPr="008C5E71">
              <w:rPr>
                <w:rFonts w:cstheme="minorHAnsi"/>
                <w:lang w:val="de-DE"/>
              </w:rPr>
              <w:t xml:space="preserve"> (2005)</w:t>
            </w:r>
          </w:p>
        </w:tc>
      </w:tr>
      <w:tr w:rsidR="0094099E" w:rsidRPr="00D3139A" w14:paraId="09DA66C0" w14:textId="77777777" w:rsidTr="00A4251A">
        <w:tc>
          <w:tcPr>
            <w:tcW w:w="1413" w:type="dxa"/>
          </w:tcPr>
          <w:p w14:paraId="5E8617ED" w14:textId="2AD84D84" w:rsidR="0094099E" w:rsidRPr="0094099E" w:rsidRDefault="0094099E" w:rsidP="00D35DFD">
            <w:pPr>
              <w:rPr>
                <w:rFonts w:cstheme="minorHAnsi"/>
                <w:lang w:val="de-DE"/>
              </w:rPr>
            </w:pPr>
            <w:r w:rsidRPr="0094099E">
              <w:rPr>
                <w:rFonts w:cstheme="minorHAnsi"/>
                <w:lang w:val="de-DE"/>
              </w:rPr>
              <w:t>1</w:t>
            </w:r>
            <w:r w:rsidR="00FE4B42">
              <w:rPr>
                <w:rFonts w:cstheme="minorHAnsi"/>
                <w:lang w:val="de-DE"/>
              </w:rPr>
              <w:t>6.01.2020</w:t>
            </w:r>
          </w:p>
        </w:tc>
        <w:tc>
          <w:tcPr>
            <w:tcW w:w="4819" w:type="dxa"/>
          </w:tcPr>
          <w:p w14:paraId="5950D4BC" w14:textId="77777777" w:rsidR="0094099E" w:rsidRPr="000E5FC4" w:rsidRDefault="00106992" w:rsidP="00D35DFD">
            <w:pPr>
              <w:rPr>
                <w:rFonts w:cstheme="minorHAnsi"/>
                <w:lang w:val="de-DE"/>
              </w:rPr>
            </w:pPr>
            <w:r>
              <w:rPr>
                <w:rFonts w:cstheme="minorHAnsi"/>
                <w:lang w:val="de-DE"/>
              </w:rPr>
              <w:t>Wissenschaftliches Fehlverhalten</w:t>
            </w:r>
          </w:p>
        </w:tc>
        <w:tc>
          <w:tcPr>
            <w:tcW w:w="2835" w:type="dxa"/>
          </w:tcPr>
          <w:p w14:paraId="0CFE10E2" w14:textId="77777777" w:rsidR="0094099E" w:rsidRPr="008C5E71" w:rsidRDefault="00F42B85" w:rsidP="00D35DFD">
            <w:pPr>
              <w:rPr>
                <w:rFonts w:cstheme="minorHAnsi"/>
                <w:lang w:val="de-DE"/>
              </w:rPr>
            </w:pPr>
            <w:r>
              <w:rPr>
                <w:rFonts w:cstheme="minorHAnsi"/>
                <w:lang w:val="de-DE"/>
              </w:rPr>
              <w:t>Carey</w:t>
            </w:r>
            <w:r w:rsidR="00E20D4D" w:rsidRPr="008C5E71">
              <w:rPr>
                <w:rFonts w:cstheme="minorHAnsi"/>
                <w:lang w:val="de-DE"/>
              </w:rPr>
              <w:t xml:space="preserve"> (2016)</w:t>
            </w:r>
          </w:p>
        </w:tc>
      </w:tr>
      <w:tr w:rsidR="0094099E" w:rsidRPr="00106992" w14:paraId="2EBA90FD" w14:textId="77777777" w:rsidTr="00A4251A">
        <w:tc>
          <w:tcPr>
            <w:tcW w:w="1413" w:type="dxa"/>
          </w:tcPr>
          <w:p w14:paraId="1AA49384" w14:textId="22232FD2" w:rsidR="0094099E" w:rsidRPr="0094099E" w:rsidRDefault="0094099E" w:rsidP="00D35DFD">
            <w:pPr>
              <w:rPr>
                <w:rFonts w:cstheme="minorHAnsi"/>
                <w:lang w:val="de-DE"/>
              </w:rPr>
            </w:pPr>
            <w:r w:rsidRPr="0094099E">
              <w:rPr>
                <w:rFonts w:cstheme="minorHAnsi"/>
                <w:lang w:val="de-DE"/>
              </w:rPr>
              <w:t>2</w:t>
            </w:r>
            <w:r w:rsidR="00FE4B42">
              <w:rPr>
                <w:rFonts w:cstheme="minorHAnsi"/>
                <w:lang w:val="de-DE"/>
              </w:rPr>
              <w:t>3.01.2020</w:t>
            </w:r>
          </w:p>
        </w:tc>
        <w:tc>
          <w:tcPr>
            <w:tcW w:w="4819" w:type="dxa"/>
          </w:tcPr>
          <w:p w14:paraId="36BBF889" w14:textId="77777777" w:rsidR="0094099E" w:rsidRPr="0094099E" w:rsidRDefault="00E70E9C" w:rsidP="00D35DFD">
            <w:pPr>
              <w:rPr>
                <w:rFonts w:cstheme="minorHAnsi"/>
                <w:lang w:val="de-DE"/>
              </w:rPr>
            </w:pPr>
            <w:r>
              <w:rPr>
                <w:rFonts w:cstheme="minorHAnsi"/>
                <w:lang w:val="de-DE"/>
              </w:rPr>
              <w:t>Ethik</w:t>
            </w:r>
            <w:r w:rsidR="00106992">
              <w:rPr>
                <w:rFonts w:cstheme="minorHAnsi"/>
                <w:lang w:val="de-DE"/>
              </w:rPr>
              <w:t xml:space="preserve"> des Benennens von Schwachsinn</w:t>
            </w:r>
          </w:p>
        </w:tc>
        <w:tc>
          <w:tcPr>
            <w:tcW w:w="2835" w:type="dxa"/>
          </w:tcPr>
          <w:p w14:paraId="643A617B" w14:textId="77777777" w:rsidR="0094099E" w:rsidRPr="008C5E71" w:rsidRDefault="00E20D4D" w:rsidP="00D35DFD">
            <w:pPr>
              <w:rPr>
                <w:rFonts w:cstheme="minorHAnsi"/>
                <w:lang w:val="de-DE"/>
              </w:rPr>
            </w:pPr>
            <w:r w:rsidRPr="008C5E71">
              <w:rPr>
                <w:rFonts w:cstheme="minorHAnsi"/>
                <w:lang w:val="de-DE"/>
              </w:rPr>
              <w:t>Service (2014)</w:t>
            </w:r>
          </w:p>
        </w:tc>
      </w:tr>
      <w:tr w:rsidR="0094099E" w:rsidRPr="00DB6F3D" w14:paraId="4C34F28D" w14:textId="77777777" w:rsidTr="00A4251A">
        <w:tc>
          <w:tcPr>
            <w:tcW w:w="1413" w:type="dxa"/>
          </w:tcPr>
          <w:p w14:paraId="46590391" w14:textId="409234F1" w:rsidR="0094099E" w:rsidRPr="0094099E" w:rsidRDefault="000058E1" w:rsidP="00D35DFD">
            <w:pPr>
              <w:rPr>
                <w:rFonts w:cstheme="minorHAnsi"/>
                <w:lang w:val="de-DE"/>
              </w:rPr>
            </w:pPr>
            <w:r>
              <w:rPr>
                <w:rFonts w:cstheme="minorHAnsi"/>
                <w:lang w:val="de-DE"/>
              </w:rPr>
              <w:t>3</w:t>
            </w:r>
            <w:r w:rsidR="00FE4B42">
              <w:rPr>
                <w:rFonts w:cstheme="minorHAnsi"/>
                <w:lang w:val="de-DE"/>
              </w:rPr>
              <w:t>0</w:t>
            </w:r>
            <w:r w:rsidR="0094099E" w:rsidRPr="0094099E">
              <w:rPr>
                <w:rFonts w:cstheme="minorHAnsi"/>
                <w:lang w:val="de-DE"/>
              </w:rPr>
              <w:t>.0</w:t>
            </w:r>
            <w:r>
              <w:rPr>
                <w:rFonts w:cstheme="minorHAnsi"/>
                <w:lang w:val="de-DE"/>
              </w:rPr>
              <w:t>1</w:t>
            </w:r>
            <w:r w:rsidR="00FE4B42">
              <w:rPr>
                <w:rFonts w:cstheme="minorHAnsi"/>
                <w:lang w:val="de-DE"/>
              </w:rPr>
              <w:t>.2020</w:t>
            </w:r>
          </w:p>
        </w:tc>
        <w:tc>
          <w:tcPr>
            <w:tcW w:w="4819" w:type="dxa"/>
          </w:tcPr>
          <w:p w14:paraId="5FEA9A5B" w14:textId="77777777" w:rsidR="0094099E" w:rsidRPr="0094099E" w:rsidRDefault="00106992" w:rsidP="00D35DFD">
            <w:pPr>
              <w:rPr>
                <w:rFonts w:cstheme="minorHAnsi"/>
                <w:lang w:val="de-DE"/>
              </w:rPr>
            </w:pPr>
            <w:r>
              <w:rPr>
                <w:rFonts w:cstheme="minorHAnsi"/>
                <w:lang w:val="de-DE"/>
              </w:rPr>
              <w:t>Fake News</w:t>
            </w:r>
          </w:p>
        </w:tc>
        <w:tc>
          <w:tcPr>
            <w:tcW w:w="2835" w:type="dxa"/>
          </w:tcPr>
          <w:p w14:paraId="4630763E" w14:textId="77777777" w:rsidR="0094099E" w:rsidRPr="008C5E71" w:rsidRDefault="00A83DCA" w:rsidP="00D35DFD">
            <w:pPr>
              <w:rPr>
                <w:rFonts w:cstheme="minorHAnsi"/>
                <w:lang w:val="de-DE"/>
              </w:rPr>
            </w:pPr>
            <w:proofErr w:type="spellStart"/>
            <w:r w:rsidRPr="008C5E71">
              <w:rPr>
                <w:rFonts w:cstheme="minorHAnsi"/>
                <w:lang w:val="de-DE"/>
              </w:rPr>
              <w:t>Kiely&amp;Robertson</w:t>
            </w:r>
            <w:proofErr w:type="spellEnd"/>
            <w:r w:rsidRPr="008C5E71">
              <w:rPr>
                <w:rFonts w:cstheme="minorHAnsi"/>
                <w:lang w:val="de-DE"/>
              </w:rPr>
              <w:t xml:space="preserve"> (2016)</w:t>
            </w:r>
          </w:p>
        </w:tc>
      </w:tr>
      <w:tr w:rsidR="0094099E" w:rsidRPr="00DB6F3D" w14:paraId="671D24D7" w14:textId="77777777" w:rsidTr="00A4251A">
        <w:tc>
          <w:tcPr>
            <w:tcW w:w="1413" w:type="dxa"/>
          </w:tcPr>
          <w:p w14:paraId="2649F6BF" w14:textId="4896498A" w:rsidR="0094099E" w:rsidRPr="0094099E" w:rsidRDefault="00FE4B42" w:rsidP="00D35DFD">
            <w:pPr>
              <w:rPr>
                <w:rFonts w:cstheme="minorHAnsi"/>
                <w:lang w:val="de-DE"/>
              </w:rPr>
            </w:pPr>
            <w:r>
              <w:rPr>
                <w:rFonts w:cstheme="minorHAnsi"/>
                <w:lang w:val="de-DE"/>
              </w:rPr>
              <w:t>06.02.2020</w:t>
            </w:r>
          </w:p>
        </w:tc>
        <w:tc>
          <w:tcPr>
            <w:tcW w:w="4819" w:type="dxa"/>
          </w:tcPr>
          <w:p w14:paraId="7E8BC9F6" w14:textId="77777777" w:rsidR="0094099E" w:rsidRPr="000E5FC4" w:rsidRDefault="00106992" w:rsidP="00D35DFD">
            <w:pPr>
              <w:rPr>
                <w:rFonts w:cstheme="minorHAnsi"/>
                <w:lang w:val="de-DE"/>
              </w:rPr>
            </w:pPr>
            <w:r>
              <w:rPr>
                <w:rFonts w:cstheme="minorHAnsi"/>
                <w:lang w:val="de-DE"/>
              </w:rPr>
              <w:t>Gegen Schwachsinn angehen</w:t>
            </w:r>
          </w:p>
        </w:tc>
        <w:tc>
          <w:tcPr>
            <w:tcW w:w="2835" w:type="dxa"/>
          </w:tcPr>
          <w:p w14:paraId="53CFD4A2" w14:textId="77777777" w:rsidR="0094099E" w:rsidRPr="008C5E71" w:rsidRDefault="00746FD5" w:rsidP="00D35DFD">
            <w:pPr>
              <w:rPr>
                <w:rFonts w:cstheme="minorHAnsi"/>
                <w:lang w:val="de-DE"/>
              </w:rPr>
            </w:pPr>
            <w:proofErr w:type="spellStart"/>
            <w:r w:rsidRPr="008C5E71">
              <w:rPr>
                <w:rFonts w:cstheme="minorHAnsi"/>
                <w:lang w:val="de-DE"/>
              </w:rPr>
              <w:t>Cook&amp;Lewandowsky</w:t>
            </w:r>
            <w:proofErr w:type="spellEnd"/>
            <w:r w:rsidRPr="008C5E71">
              <w:rPr>
                <w:rFonts w:cstheme="minorHAnsi"/>
                <w:lang w:val="de-DE"/>
              </w:rPr>
              <w:t xml:space="preserve"> (2012)</w:t>
            </w:r>
          </w:p>
        </w:tc>
      </w:tr>
    </w:tbl>
    <w:p w14:paraId="641B2BB6" w14:textId="77777777" w:rsidR="00586055" w:rsidRDefault="00586055" w:rsidP="00586055">
      <w:pPr>
        <w:spacing w:after="0" w:line="240" w:lineRule="auto"/>
        <w:rPr>
          <w:rFonts w:cstheme="minorHAnsi"/>
        </w:rPr>
      </w:pPr>
    </w:p>
    <w:p w14:paraId="0168DCA2" w14:textId="77777777" w:rsidR="001367C4" w:rsidRDefault="00586055" w:rsidP="00FF0FAD">
      <w:pPr>
        <w:rPr>
          <w:rFonts w:cstheme="minorHAnsi"/>
          <w:lang w:val="de-DE"/>
        </w:rPr>
      </w:pPr>
      <w:r>
        <w:rPr>
          <w:rFonts w:cstheme="minorHAnsi"/>
          <w:lang w:val="de-DE"/>
        </w:rPr>
        <w:t>Bitte lesen Sie die angegebene</w:t>
      </w:r>
      <w:r w:rsidR="00F0797C">
        <w:rPr>
          <w:rFonts w:cstheme="minorHAnsi"/>
          <w:lang w:val="de-DE"/>
        </w:rPr>
        <w:t xml:space="preserve"> Literatur </w:t>
      </w:r>
      <w:r w:rsidRPr="00586055">
        <w:rPr>
          <w:rFonts w:cstheme="minorHAnsi"/>
          <w:u w:val="single"/>
          <w:lang w:val="de-DE"/>
        </w:rPr>
        <w:t>vor</w:t>
      </w:r>
      <w:r>
        <w:rPr>
          <w:rFonts w:cstheme="minorHAnsi"/>
          <w:lang w:val="de-DE"/>
        </w:rPr>
        <w:t xml:space="preserve"> der </w:t>
      </w:r>
      <w:r w:rsidR="005A7F7D">
        <w:rPr>
          <w:rFonts w:cstheme="minorHAnsi"/>
          <w:lang w:val="de-DE"/>
        </w:rPr>
        <w:t>Veranstaltung</w:t>
      </w:r>
      <w:r w:rsidR="002D157A">
        <w:rPr>
          <w:rFonts w:cstheme="minorHAnsi"/>
          <w:lang w:val="de-DE"/>
        </w:rPr>
        <w:t xml:space="preserve"> als Motivation und Inspiration</w:t>
      </w:r>
      <w:r w:rsidR="00760C40">
        <w:rPr>
          <w:rFonts w:cstheme="minorHAnsi"/>
          <w:lang w:val="de-DE"/>
        </w:rPr>
        <w:t xml:space="preserve">. </w:t>
      </w:r>
      <w:r w:rsidR="002D157A">
        <w:rPr>
          <w:rFonts w:cstheme="minorHAnsi"/>
          <w:lang w:val="de-DE"/>
        </w:rPr>
        <w:t>Außerdem vermittelt diese Literatur Grundsätzliches zum Inhalt der entsprechenden Veranstaltung;</w:t>
      </w:r>
      <w:r w:rsidR="00760C40">
        <w:rPr>
          <w:rFonts w:cstheme="minorHAnsi"/>
          <w:lang w:val="de-DE"/>
        </w:rPr>
        <w:t xml:space="preserve"> wir </w:t>
      </w:r>
      <w:r w:rsidR="002D157A">
        <w:rPr>
          <w:rFonts w:cstheme="minorHAnsi"/>
          <w:lang w:val="de-DE"/>
        </w:rPr>
        <w:t xml:space="preserve">gehen </w:t>
      </w:r>
      <w:r w:rsidR="00760C40">
        <w:rPr>
          <w:rFonts w:cstheme="minorHAnsi"/>
          <w:lang w:val="de-DE"/>
        </w:rPr>
        <w:t>davon aus, dass Sie</w:t>
      </w:r>
      <w:r w:rsidR="002D157A">
        <w:rPr>
          <w:rFonts w:cstheme="minorHAnsi"/>
          <w:lang w:val="de-DE"/>
        </w:rPr>
        <w:t xml:space="preserve"> bereits</w:t>
      </w:r>
      <w:r w:rsidR="00760C40">
        <w:rPr>
          <w:rFonts w:cstheme="minorHAnsi"/>
          <w:lang w:val="de-DE"/>
        </w:rPr>
        <w:t xml:space="preserve"> </w:t>
      </w:r>
      <w:r w:rsidR="002D157A">
        <w:rPr>
          <w:rFonts w:cstheme="minorHAnsi"/>
          <w:lang w:val="de-DE"/>
        </w:rPr>
        <w:t>eine solche grundsätzliche Idee bezüglich der Inhalte mitbringen</w:t>
      </w:r>
      <w:r>
        <w:rPr>
          <w:rFonts w:cstheme="minorHAnsi"/>
          <w:lang w:val="de-DE"/>
        </w:rPr>
        <w:t>.</w:t>
      </w:r>
    </w:p>
    <w:p w14:paraId="2EE4DB77" w14:textId="77777777" w:rsidR="00236125" w:rsidRDefault="00236125" w:rsidP="00FF0FAD">
      <w:pPr>
        <w:rPr>
          <w:rFonts w:cstheme="minorHAnsi"/>
          <w:u w:val="single"/>
          <w:lang w:val="de-DE"/>
        </w:rPr>
      </w:pPr>
    </w:p>
    <w:p w14:paraId="1CC428F2" w14:textId="77777777" w:rsidR="002754D8" w:rsidRPr="00DB6F3D" w:rsidRDefault="000E0E11" w:rsidP="00FF0FAD">
      <w:pPr>
        <w:rPr>
          <w:rFonts w:cstheme="minorHAnsi"/>
          <w:u w:val="single"/>
          <w:lang w:val="de-DE"/>
        </w:rPr>
      </w:pPr>
      <w:r>
        <w:rPr>
          <w:rFonts w:cstheme="minorHAnsi"/>
          <w:u w:val="single"/>
          <w:lang w:val="de-DE"/>
        </w:rPr>
        <w:t>Leistungsnachweis</w:t>
      </w:r>
    </w:p>
    <w:p w14:paraId="2C637A2F" w14:textId="77777777" w:rsidR="002754D8" w:rsidRDefault="000E0E11" w:rsidP="00FF0FAD">
      <w:pPr>
        <w:rPr>
          <w:rFonts w:cstheme="minorHAnsi"/>
          <w:lang w:val="de-DE"/>
        </w:rPr>
      </w:pPr>
      <w:r>
        <w:rPr>
          <w:rFonts w:cstheme="minorHAnsi"/>
          <w:lang w:val="de-DE"/>
        </w:rPr>
        <w:t>Studierende erhalten einen Leistungsnachweis in Höhe von drei Leistungspunkten</w:t>
      </w:r>
      <w:r w:rsidR="0008139F">
        <w:rPr>
          <w:rFonts w:cstheme="minorHAnsi"/>
          <w:lang w:val="de-DE"/>
        </w:rPr>
        <w:t>, falls</w:t>
      </w:r>
    </w:p>
    <w:p w14:paraId="7F5329FC" w14:textId="77777777" w:rsidR="0008139F" w:rsidRPr="0008139F" w:rsidRDefault="0008139F" w:rsidP="0008139F">
      <w:pPr>
        <w:pStyle w:val="Listenabsatz"/>
        <w:numPr>
          <w:ilvl w:val="0"/>
          <w:numId w:val="5"/>
        </w:numPr>
        <w:rPr>
          <w:rFonts w:cstheme="minorHAnsi"/>
          <w:lang w:val="de-DE"/>
        </w:rPr>
      </w:pPr>
      <w:r w:rsidRPr="0008139F">
        <w:rPr>
          <w:rFonts w:cstheme="minorHAnsi"/>
          <w:lang w:val="de-DE"/>
        </w:rPr>
        <w:t xml:space="preserve">sie an mindestens zehn von zwölf Veranstaltungen </w:t>
      </w:r>
      <w:r w:rsidR="00E20D4D">
        <w:rPr>
          <w:rFonts w:cstheme="minorHAnsi"/>
          <w:lang w:val="de-DE"/>
        </w:rPr>
        <w:t xml:space="preserve">aktiv </w:t>
      </w:r>
      <w:r w:rsidRPr="0008139F">
        <w:rPr>
          <w:rFonts w:cstheme="minorHAnsi"/>
          <w:lang w:val="de-DE"/>
        </w:rPr>
        <w:t>teilnehmen und</w:t>
      </w:r>
    </w:p>
    <w:p w14:paraId="347EA6FD" w14:textId="06B334A6" w:rsidR="0008139F" w:rsidRPr="0008139F" w:rsidRDefault="0008139F" w:rsidP="0008139F">
      <w:pPr>
        <w:pStyle w:val="Listenabsatz"/>
        <w:numPr>
          <w:ilvl w:val="0"/>
          <w:numId w:val="5"/>
        </w:numPr>
        <w:rPr>
          <w:rFonts w:cstheme="minorHAnsi"/>
          <w:lang w:val="de-DE"/>
        </w:rPr>
      </w:pPr>
      <w:r w:rsidRPr="0008139F">
        <w:rPr>
          <w:rFonts w:cstheme="minorHAnsi"/>
          <w:lang w:val="de-DE"/>
        </w:rPr>
        <w:t>eine Präsentation (evtl. in einer Gruppe) zum Thema eines Termins halten</w:t>
      </w:r>
      <w:r w:rsidR="007A7307">
        <w:rPr>
          <w:rFonts w:cstheme="minorHAnsi"/>
          <w:lang w:val="de-DE"/>
        </w:rPr>
        <w:t xml:space="preserve"> (nicht für die Termine am 17.10. und 19.12.2019 möglich)</w:t>
      </w:r>
      <w:r w:rsidRPr="0008139F">
        <w:rPr>
          <w:rFonts w:cstheme="minorHAnsi"/>
          <w:lang w:val="de-DE"/>
        </w:rPr>
        <w:t>.</w:t>
      </w:r>
    </w:p>
    <w:p w14:paraId="79D9127F" w14:textId="06E1B39D" w:rsidR="00696D54" w:rsidRDefault="005A7F7D" w:rsidP="00FF0FAD">
      <w:pPr>
        <w:rPr>
          <w:rFonts w:cstheme="minorHAnsi"/>
          <w:lang w:val="de-DE"/>
        </w:rPr>
      </w:pPr>
      <w:proofErr w:type="spellStart"/>
      <w:r>
        <w:rPr>
          <w:rFonts w:cstheme="minorHAnsi"/>
          <w:lang w:val="de-DE"/>
        </w:rPr>
        <w:t>ad</w:t>
      </w:r>
      <w:proofErr w:type="spellEnd"/>
      <w:r>
        <w:rPr>
          <w:rFonts w:cstheme="minorHAnsi"/>
          <w:lang w:val="de-DE"/>
        </w:rPr>
        <w:t xml:space="preserve"> 1.: aktive Teilnahme meint</w:t>
      </w:r>
      <w:r w:rsidR="009162C4">
        <w:rPr>
          <w:rFonts w:cstheme="minorHAnsi"/>
          <w:lang w:val="de-DE"/>
        </w:rPr>
        <w:t>:</w:t>
      </w:r>
      <w:r>
        <w:rPr>
          <w:rFonts w:cstheme="minorHAnsi"/>
          <w:lang w:val="de-DE"/>
        </w:rPr>
        <w:t xml:space="preserve"> Fragen stellen, Antworten geben, Zusammenfassungen machen, diskutieren.</w:t>
      </w:r>
    </w:p>
    <w:p w14:paraId="17A78322" w14:textId="0FB25AA6" w:rsidR="005A7F7D" w:rsidRDefault="005A7F7D" w:rsidP="00FF0FAD">
      <w:pPr>
        <w:rPr>
          <w:rFonts w:cstheme="minorHAnsi"/>
          <w:lang w:val="de-DE"/>
        </w:rPr>
      </w:pPr>
      <w:proofErr w:type="spellStart"/>
      <w:r>
        <w:rPr>
          <w:rFonts w:cstheme="minorHAnsi"/>
          <w:lang w:val="de-DE"/>
        </w:rPr>
        <w:t>ad</w:t>
      </w:r>
      <w:proofErr w:type="spellEnd"/>
      <w:r>
        <w:rPr>
          <w:rFonts w:cstheme="minorHAnsi"/>
          <w:lang w:val="de-DE"/>
        </w:rPr>
        <w:t xml:space="preserve"> 2.: die Präsentation soll deutlich über den Inhalt des unter </w:t>
      </w:r>
      <w:r w:rsidR="0024415A">
        <w:rPr>
          <w:rFonts w:cstheme="minorHAnsi"/>
          <w:lang w:val="de-DE"/>
        </w:rPr>
        <w:t xml:space="preserve">„Verpflichtende </w:t>
      </w:r>
      <w:r>
        <w:rPr>
          <w:rFonts w:cstheme="minorHAnsi"/>
          <w:lang w:val="de-DE"/>
        </w:rPr>
        <w:t>Literatur</w:t>
      </w:r>
      <w:r w:rsidR="0024415A">
        <w:rPr>
          <w:rFonts w:cstheme="minorHAnsi"/>
          <w:lang w:val="de-DE"/>
        </w:rPr>
        <w:t>“</w:t>
      </w:r>
      <w:r>
        <w:rPr>
          <w:rFonts w:cstheme="minorHAnsi"/>
          <w:lang w:val="de-DE"/>
        </w:rPr>
        <w:t xml:space="preserve"> </w:t>
      </w:r>
      <w:r w:rsidR="004335CD">
        <w:rPr>
          <w:rFonts w:cstheme="minorHAnsi"/>
          <w:lang w:val="de-DE"/>
        </w:rPr>
        <w:t xml:space="preserve">jeweils </w:t>
      </w:r>
      <w:r>
        <w:rPr>
          <w:rFonts w:cstheme="minorHAnsi"/>
          <w:lang w:val="de-DE"/>
        </w:rPr>
        <w:t xml:space="preserve">angegebenen Basistexts hinausgehen. Weiterführende Literatur ist unten angegeben bzw. auf der Webseite von </w:t>
      </w:r>
      <w:proofErr w:type="spellStart"/>
      <w:r>
        <w:rPr>
          <w:rFonts w:cstheme="minorHAnsi"/>
          <w:lang w:val="de-DE"/>
        </w:rPr>
        <w:t>Bergstrom&amp;West</w:t>
      </w:r>
      <w:proofErr w:type="spellEnd"/>
      <w:r>
        <w:rPr>
          <w:rFonts w:cstheme="minorHAnsi"/>
          <w:lang w:val="de-DE"/>
        </w:rPr>
        <w:t xml:space="preserve"> ersichtlich: </w:t>
      </w:r>
      <w:r w:rsidRPr="00610352">
        <w:rPr>
          <w:rFonts w:cstheme="minorHAnsi"/>
          <w:lang w:val="de-DE"/>
        </w:rPr>
        <w:t>http://callingbullshit.org/</w:t>
      </w:r>
      <w:r>
        <w:rPr>
          <w:rFonts w:cstheme="minorHAnsi"/>
          <w:lang w:val="de-DE"/>
        </w:rPr>
        <w:t>. Die Präsentation sol</w:t>
      </w:r>
      <w:r w:rsidR="0024415A">
        <w:rPr>
          <w:rFonts w:cstheme="minorHAnsi"/>
          <w:lang w:val="de-DE"/>
        </w:rPr>
        <w:t xml:space="preserve">l </w:t>
      </w:r>
      <w:r w:rsidR="000058E1">
        <w:rPr>
          <w:rFonts w:cstheme="minorHAnsi"/>
          <w:lang w:val="de-DE"/>
        </w:rPr>
        <w:t>etwa</w:t>
      </w:r>
      <w:r w:rsidR="0024415A">
        <w:rPr>
          <w:rFonts w:cstheme="minorHAnsi"/>
          <w:lang w:val="de-DE"/>
        </w:rPr>
        <w:t xml:space="preserve"> 45</w:t>
      </w:r>
      <w:r>
        <w:rPr>
          <w:rFonts w:cstheme="minorHAnsi"/>
          <w:lang w:val="de-DE"/>
        </w:rPr>
        <w:t xml:space="preserve"> Minuten dauern</w:t>
      </w:r>
      <w:r w:rsidR="00FE4B42">
        <w:rPr>
          <w:rFonts w:cstheme="minorHAnsi"/>
          <w:lang w:val="de-DE"/>
        </w:rPr>
        <w:t>; die anschließende Diskussion wird von den jeweils verantwortlichen Studierenden geleitet</w:t>
      </w:r>
      <w:r>
        <w:rPr>
          <w:rFonts w:cstheme="minorHAnsi"/>
          <w:lang w:val="de-DE"/>
        </w:rPr>
        <w:t>.</w:t>
      </w:r>
      <w:r w:rsidR="008A547D">
        <w:rPr>
          <w:rFonts w:cstheme="minorHAnsi"/>
          <w:lang w:val="de-DE"/>
        </w:rPr>
        <w:t xml:space="preserve"> Denken Sie daran, dass </w:t>
      </w:r>
      <w:proofErr w:type="spellStart"/>
      <w:r w:rsidR="008A547D">
        <w:rPr>
          <w:rFonts w:cstheme="minorHAnsi"/>
          <w:lang w:val="de-DE"/>
        </w:rPr>
        <w:t>Powerpoint</w:t>
      </w:r>
      <w:proofErr w:type="spellEnd"/>
      <w:r w:rsidR="008A547D">
        <w:rPr>
          <w:rFonts w:cstheme="minorHAnsi"/>
          <w:lang w:val="de-DE"/>
        </w:rPr>
        <w:t xml:space="preserve"> nur eine von vielen Möglichkeiten darstellt, um einen Vortrag zu unterstützen.</w:t>
      </w:r>
      <w:r w:rsidR="000058E1">
        <w:rPr>
          <w:rFonts w:cstheme="minorHAnsi"/>
          <w:lang w:val="de-DE"/>
        </w:rPr>
        <w:t xml:space="preserve"> Alle Mitglieder einer Studierendengruppe müssen in der Lage sein, Fragen zum Thema zu beantworten; Präsentationen müssen (formal und inhaltlich) konsistent sein.</w:t>
      </w:r>
    </w:p>
    <w:p w14:paraId="105E5F89" w14:textId="77777777" w:rsidR="005A7F7D" w:rsidRPr="00D3139A" w:rsidRDefault="005A7F7D" w:rsidP="00FF0FAD">
      <w:pPr>
        <w:rPr>
          <w:rFonts w:cstheme="minorHAnsi"/>
          <w:lang w:val="de-DE"/>
        </w:rPr>
      </w:pPr>
    </w:p>
    <w:p w14:paraId="0F83B662" w14:textId="77777777" w:rsidR="00696D54" w:rsidRPr="00F42B85" w:rsidRDefault="0024415A" w:rsidP="00FF0FAD">
      <w:pPr>
        <w:rPr>
          <w:rFonts w:cstheme="minorHAnsi"/>
          <w:u w:val="single"/>
          <w:lang w:val="en-GB"/>
        </w:rPr>
      </w:pPr>
      <w:proofErr w:type="spellStart"/>
      <w:r w:rsidRPr="00F42B85">
        <w:rPr>
          <w:rFonts w:cstheme="minorHAnsi"/>
          <w:u w:val="single"/>
          <w:lang w:val="en-GB"/>
        </w:rPr>
        <w:t>Verpflichtende</w:t>
      </w:r>
      <w:proofErr w:type="spellEnd"/>
      <w:r w:rsidRPr="00F42B85">
        <w:rPr>
          <w:rFonts w:cstheme="minorHAnsi"/>
          <w:u w:val="single"/>
          <w:lang w:val="en-GB"/>
        </w:rPr>
        <w:t xml:space="preserve"> </w:t>
      </w:r>
      <w:proofErr w:type="spellStart"/>
      <w:r w:rsidR="00696D54" w:rsidRPr="00F42B85">
        <w:rPr>
          <w:rFonts w:cstheme="minorHAnsi"/>
          <w:u w:val="single"/>
          <w:lang w:val="en-GB"/>
        </w:rPr>
        <w:t>Literatur</w:t>
      </w:r>
      <w:proofErr w:type="spellEnd"/>
    </w:p>
    <w:p w14:paraId="4AF87623" w14:textId="77777777" w:rsidR="00F42B85" w:rsidRDefault="00F42B85" w:rsidP="00F42B85">
      <w:r>
        <w:t xml:space="preserve">Carey, Kevin (2016): Fake academe looking much like the real thing. </w:t>
      </w:r>
      <w:r w:rsidRPr="0062229F">
        <w:rPr>
          <w:i/>
        </w:rPr>
        <w:t>New York Times</w:t>
      </w:r>
      <w:r>
        <w:t>, Dec. 29, 2016.</w:t>
      </w:r>
    </w:p>
    <w:p w14:paraId="38D900D2" w14:textId="77777777" w:rsidR="00746FD5" w:rsidRDefault="00746FD5" w:rsidP="00FF0FAD">
      <w:pPr>
        <w:rPr>
          <w:lang w:val="en-GB"/>
        </w:rPr>
      </w:pPr>
      <w:r w:rsidRPr="00746FD5">
        <w:rPr>
          <w:lang w:val="en-GB"/>
        </w:rPr>
        <w:t>Cook</w:t>
      </w:r>
      <w:r>
        <w:rPr>
          <w:lang w:val="en-GB"/>
        </w:rPr>
        <w:t>,</w:t>
      </w:r>
      <w:r w:rsidRPr="00746FD5">
        <w:rPr>
          <w:lang w:val="en-GB"/>
        </w:rPr>
        <w:t xml:space="preserve"> John</w:t>
      </w:r>
      <w:r>
        <w:rPr>
          <w:lang w:val="en-GB"/>
        </w:rPr>
        <w:t>,</w:t>
      </w:r>
      <w:r w:rsidRPr="00746FD5">
        <w:rPr>
          <w:lang w:val="en-GB"/>
        </w:rPr>
        <w:t xml:space="preserve"> Stephan Lewandowsky (2012)</w:t>
      </w:r>
      <w:r>
        <w:rPr>
          <w:lang w:val="en-GB"/>
        </w:rPr>
        <w:t xml:space="preserve">: </w:t>
      </w:r>
      <w:r w:rsidR="00A83DCA" w:rsidRPr="00A83DCA">
        <w:rPr>
          <w:i/>
          <w:lang w:val="en-GB"/>
        </w:rPr>
        <w:t>The Debunking Handbook</w:t>
      </w:r>
      <w:r w:rsidR="00A83DCA">
        <w:rPr>
          <w:lang w:val="en-GB"/>
        </w:rPr>
        <w:t>, University of Queensland.</w:t>
      </w:r>
    </w:p>
    <w:p w14:paraId="78014589" w14:textId="77777777" w:rsidR="00AA6BD0" w:rsidRPr="00AA6BD0" w:rsidRDefault="00AA6BD0" w:rsidP="00FF0FAD">
      <w:pPr>
        <w:rPr>
          <w:lang w:val="en-GB"/>
        </w:rPr>
      </w:pPr>
      <w:r w:rsidRPr="00AA6BD0">
        <w:rPr>
          <w:lang w:val="en-GB"/>
        </w:rPr>
        <w:t>Feinstein</w:t>
      </w:r>
      <w:r>
        <w:rPr>
          <w:lang w:val="en-GB"/>
        </w:rPr>
        <w:t>,</w:t>
      </w:r>
      <w:r w:rsidRPr="00AA6BD0">
        <w:rPr>
          <w:lang w:val="en-GB"/>
        </w:rPr>
        <w:t xml:space="preserve"> </w:t>
      </w:r>
      <w:proofErr w:type="spellStart"/>
      <w:r w:rsidRPr="00AA6BD0">
        <w:rPr>
          <w:lang w:val="en-GB"/>
        </w:rPr>
        <w:t>Alvan</w:t>
      </w:r>
      <w:proofErr w:type="spellEnd"/>
      <w:r w:rsidRPr="00AA6BD0">
        <w:rPr>
          <w:lang w:val="en-GB"/>
        </w:rPr>
        <w:t xml:space="preserve"> et al. (1985)</w:t>
      </w:r>
      <w:r>
        <w:rPr>
          <w:lang w:val="en-GB"/>
        </w:rPr>
        <w:t>:</w:t>
      </w:r>
      <w:r w:rsidRPr="00AA6BD0">
        <w:rPr>
          <w:lang w:val="en-GB"/>
        </w:rPr>
        <w:t xml:space="preserve"> The Will Rogers Phenomenon — Stage Migration and New Diagnostic Techniques as a Source of Misleading Statistics for Survival in Cancer. </w:t>
      </w:r>
      <w:r w:rsidRPr="00AA6BD0">
        <w:rPr>
          <w:i/>
          <w:lang w:val="en-GB"/>
        </w:rPr>
        <w:t>New England Journal of Medicine</w:t>
      </w:r>
      <w:r w:rsidRPr="00AA6BD0">
        <w:rPr>
          <w:lang w:val="en-GB"/>
        </w:rPr>
        <w:t xml:space="preserve"> 312:</w:t>
      </w:r>
      <w:r>
        <w:rPr>
          <w:lang w:val="en-GB"/>
        </w:rPr>
        <w:t xml:space="preserve"> 1604–</w:t>
      </w:r>
      <w:r w:rsidRPr="00AA6BD0">
        <w:rPr>
          <w:lang w:val="en-GB"/>
        </w:rPr>
        <w:t>1608.</w:t>
      </w:r>
    </w:p>
    <w:p w14:paraId="63D5A363" w14:textId="6F01C04F" w:rsidR="00D02D69" w:rsidRDefault="00A937B8" w:rsidP="00FF0FAD">
      <w:r w:rsidRPr="00AA6BD0">
        <w:rPr>
          <w:lang w:val="en-GB"/>
        </w:rPr>
        <w:t xml:space="preserve">Frankfurt, Harry (1986): On Bullshit. </w:t>
      </w:r>
      <w:r>
        <w:rPr>
          <w:rStyle w:val="Hervorhebung"/>
        </w:rPr>
        <w:t>Raritan Quarterly Review</w:t>
      </w:r>
      <w:r>
        <w:t xml:space="preserve"> 6(2).</w:t>
      </w:r>
    </w:p>
    <w:p w14:paraId="313B8E70" w14:textId="57C316D5" w:rsidR="000058E1" w:rsidRDefault="000058E1" w:rsidP="00FF0FAD">
      <w:proofErr w:type="spellStart"/>
      <w:r>
        <w:lastRenderedPageBreak/>
        <w:t>Friggeri</w:t>
      </w:r>
      <w:proofErr w:type="spellEnd"/>
      <w:r w:rsidR="00BB3010">
        <w:t>, Adrien</w:t>
      </w:r>
      <w:r w:rsidR="0062229F">
        <w:t xml:space="preserve">, Lada A. Adamic, Dean Eckles, Justin Cheng (2014): Rumor Cascades, </w:t>
      </w:r>
      <w:r w:rsidR="0062229F" w:rsidRPr="0062229F">
        <w:rPr>
          <w:i/>
        </w:rPr>
        <w:t>Proceedings of the Eighth International AAAI Conference on Weblogs and Social Media</w:t>
      </w:r>
      <w:r w:rsidR="0062229F">
        <w:t>.</w:t>
      </w:r>
    </w:p>
    <w:p w14:paraId="15E9E84E" w14:textId="77777777" w:rsidR="00E20D4D" w:rsidRDefault="00E20D4D" w:rsidP="00FF0FAD">
      <w:r w:rsidRPr="00E20D4D">
        <w:t>Ioannidis</w:t>
      </w:r>
      <w:r>
        <w:t>,</w:t>
      </w:r>
      <w:r w:rsidRPr="00E20D4D">
        <w:t xml:space="preserve"> John (2005)</w:t>
      </w:r>
      <w:r>
        <w:t>:</w:t>
      </w:r>
      <w:r w:rsidRPr="00E20D4D">
        <w:t xml:space="preserve"> Why most published scientific results are false. </w:t>
      </w:r>
      <w:r w:rsidRPr="00E20D4D">
        <w:rPr>
          <w:i/>
        </w:rPr>
        <w:t>PLOS Medicine</w:t>
      </w:r>
      <w:r w:rsidRPr="00E20D4D">
        <w:t xml:space="preserve"> 2:</w:t>
      </w:r>
      <w:r>
        <w:t xml:space="preserve"> </w:t>
      </w:r>
      <w:r w:rsidRPr="00E20D4D">
        <w:t>e124.</w:t>
      </w:r>
    </w:p>
    <w:p w14:paraId="4981BBEC" w14:textId="77777777" w:rsidR="00A83DCA" w:rsidRDefault="00A83DCA" w:rsidP="00FF0FAD">
      <w:r w:rsidRPr="00A83DCA">
        <w:t>Kiely</w:t>
      </w:r>
      <w:r>
        <w:t>,</w:t>
      </w:r>
      <w:r w:rsidRPr="00A83DCA">
        <w:t xml:space="preserve"> </w:t>
      </w:r>
      <w:r>
        <w:t xml:space="preserve">Eugene, </w:t>
      </w:r>
      <w:r w:rsidRPr="00A83DCA">
        <w:t>Lori Robertson</w:t>
      </w:r>
      <w:r>
        <w:t xml:space="preserve"> (2016): </w:t>
      </w:r>
      <w:r w:rsidRPr="00A83DCA">
        <w:t>How to Spot Fake News</w:t>
      </w:r>
      <w:r>
        <w:t xml:space="preserve">. </w:t>
      </w:r>
      <w:r w:rsidRPr="0062229F">
        <w:rPr>
          <w:i/>
        </w:rPr>
        <w:t>factcheck.org</w:t>
      </w:r>
      <w:r>
        <w:t>, Nov. 18, 2016.</w:t>
      </w:r>
    </w:p>
    <w:p w14:paraId="1113206F" w14:textId="77777777" w:rsidR="002A7F9D" w:rsidRPr="00A83DCA" w:rsidRDefault="002A7F9D" w:rsidP="00FF0FAD">
      <w:pPr>
        <w:rPr>
          <w:lang w:val="en-GB"/>
        </w:rPr>
      </w:pPr>
      <w:proofErr w:type="spellStart"/>
      <w:r w:rsidRPr="002A7F9D">
        <w:rPr>
          <w:lang w:val="en-GB"/>
        </w:rPr>
        <w:t>Lazer</w:t>
      </w:r>
      <w:proofErr w:type="spellEnd"/>
      <w:r>
        <w:rPr>
          <w:lang w:val="en-GB"/>
        </w:rPr>
        <w:t>,</w:t>
      </w:r>
      <w:r w:rsidRPr="002A7F9D">
        <w:rPr>
          <w:lang w:val="en-GB"/>
        </w:rPr>
        <w:t xml:space="preserve"> </w:t>
      </w:r>
      <w:r>
        <w:rPr>
          <w:lang w:val="en-GB"/>
        </w:rPr>
        <w:t>David, Ryan Kennedy, Gary King, Ale</w:t>
      </w:r>
      <w:r w:rsidR="005546A7">
        <w:rPr>
          <w:lang w:val="en-GB"/>
        </w:rPr>
        <w:t>ssa</w:t>
      </w:r>
      <w:r>
        <w:rPr>
          <w:lang w:val="en-GB"/>
        </w:rPr>
        <w:t xml:space="preserve">ndro </w:t>
      </w:r>
      <w:proofErr w:type="spellStart"/>
      <w:r>
        <w:rPr>
          <w:lang w:val="en-GB"/>
        </w:rPr>
        <w:t>Vespignani</w:t>
      </w:r>
      <w:proofErr w:type="spellEnd"/>
      <w:r w:rsidRPr="002A7F9D">
        <w:rPr>
          <w:lang w:val="en-GB"/>
        </w:rPr>
        <w:t xml:space="preserve"> (2014)</w:t>
      </w:r>
      <w:r>
        <w:rPr>
          <w:lang w:val="en-GB"/>
        </w:rPr>
        <w:t>:</w:t>
      </w:r>
      <w:r w:rsidRPr="002A7F9D">
        <w:rPr>
          <w:lang w:val="en-GB"/>
        </w:rPr>
        <w:t xml:space="preserve"> The Parable of Google Flu: Traps in Big Data Analysis. </w:t>
      </w:r>
      <w:r w:rsidRPr="002A7F9D">
        <w:rPr>
          <w:i/>
          <w:lang w:val="en-GB"/>
        </w:rPr>
        <w:t>Science</w:t>
      </w:r>
      <w:r w:rsidRPr="002A7F9D">
        <w:rPr>
          <w:lang w:val="en-GB"/>
        </w:rPr>
        <w:t xml:space="preserve"> 343:</w:t>
      </w:r>
      <w:r>
        <w:rPr>
          <w:lang w:val="en-GB"/>
        </w:rPr>
        <w:t xml:space="preserve"> 1203–</w:t>
      </w:r>
      <w:r w:rsidRPr="002A7F9D">
        <w:rPr>
          <w:lang w:val="en-GB"/>
        </w:rPr>
        <w:t>1205</w:t>
      </w:r>
      <w:r>
        <w:rPr>
          <w:lang w:val="en-GB"/>
        </w:rPr>
        <w:t>.</w:t>
      </w:r>
    </w:p>
    <w:p w14:paraId="25CFF1AE" w14:textId="77777777" w:rsidR="00AA6BD0" w:rsidRDefault="00AA6BD0" w:rsidP="00FF0FAD">
      <w:r w:rsidRPr="00AA6BD0">
        <w:t>Matthews</w:t>
      </w:r>
      <w:r>
        <w:t>,</w:t>
      </w:r>
      <w:r w:rsidRPr="00AA6BD0">
        <w:t xml:space="preserve"> Robert (2000)</w:t>
      </w:r>
      <w:r>
        <w:t>:</w:t>
      </w:r>
      <w:r w:rsidRPr="00AA6BD0">
        <w:t xml:space="preserve"> Storks deliver babies (p=0.008). </w:t>
      </w:r>
      <w:r w:rsidRPr="00AA6BD0">
        <w:rPr>
          <w:i/>
        </w:rPr>
        <w:t>Teaching Statistics</w:t>
      </w:r>
      <w:r w:rsidRPr="00AA6BD0">
        <w:t xml:space="preserve"> 22:</w:t>
      </w:r>
      <w:r>
        <w:t xml:space="preserve"> 36–</w:t>
      </w:r>
      <w:r w:rsidRPr="00AA6BD0">
        <w:t>38</w:t>
      </w:r>
      <w:r>
        <w:t>.</w:t>
      </w:r>
    </w:p>
    <w:p w14:paraId="426723D8" w14:textId="77777777" w:rsidR="0096396E" w:rsidRDefault="0096396E" w:rsidP="00FF0FAD">
      <w:pPr>
        <w:rPr>
          <w:rFonts w:cstheme="minorHAnsi"/>
          <w:lang w:val="en-GB"/>
        </w:rPr>
      </w:pPr>
      <w:r w:rsidRPr="0096396E">
        <w:rPr>
          <w:rFonts w:cstheme="minorHAnsi"/>
          <w:lang w:val="en-GB"/>
        </w:rPr>
        <w:t>Sagan</w:t>
      </w:r>
      <w:r>
        <w:rPr>
          <w:rFonts w:cstheme="minorHAnsi"/>
          <w:lang w:val="en-GB"/>
        </w:rPr>
        <w:t>,</w:t>
      </w:r>
      <w:r w:rsidRPr="0096396E">
        <w:rPr>
          <w:rFonts w:cstheme="minorHAnsi"/>
          <w:lang w:val="en-GB"/>
        </w:rPr>
        <w:t xml:space="preserve"> Carl </w:t>
      </w:r>
      <w:r>
        <w:rPr>
          <w:rFonts w:cstheme="minorHAnsi"/>
          <w:lang w:val="en-GB"/>
        </w:rPr>
        <w:t>(</w:t>
      </w:r>
      <w:r w:rsidRPr="0096396E">
        <w:rPr>
          <w:rFonts w:cstheme="minorHAnsi"/>
          <w:lang w:val="en-GB"/>
        </w:rPr>
        <w:t>1996</w:t>
      </w:r>
      <w:r>
        <w:rPr>
          <w:rFonts w:cstheme="minorHAnsi"/>
          <w:lang w:val="en-GB"/>
        </w:rPr>
        <w:t>):</w:t>
      </w:r>
      <w:r w:rsidRPr="0096396E">
        <w:rPr>
          <w:rFonts w:cstheme="minorHAnsi"/>
          <w:lang w:val="en-GB"/>
        </w:rPr>
        <w:t xml:space="preserve"> The Fine Art of Baloney Detect</w:t>
      </w:r>
      <w:r>
        <w:rPr>
          <w:rFonts w:cstheme="minorHAnsi"/>
          <w:lang w:val="en-GB"/>
        </w:rPr>
        <w:t xml:space="preserve">ion. Chapter 12 in Sagan: </w:t>
      </w:r>
      <w:r w:rsidRPr="0096396E">
        <w:rPr>
          <w:rFonts w:cstheme="minorHAnsi"/>
          <w:i/>
          <w:lang w:val="en-GB"/>
        </w:rPr>
        <w:t>The Demon-Haunted World</w:t>
      </w:r>
      <w:r>
        <w:rPr>
          <w:rFonts w:cstheme="minorHAnsi"/>
          <w:lang w:val="en-GB"/>
        </w:rPr>
        <w:t>, Ballantine.</w:t>
      </w:r>
    </w:p>
    <w:p w14:paraId="09D6F575" w14:textId="5A4440D3" w:rsidR="00E20D4D" w:rsidRDefault="00E20D4D" w:rsidP="00FF0FAD">
      <w:pPr>
        <w:rPr>
          <w:rFonts w:cstheme="minorHAnsi"/>
          <w:lang w:val="en-GB"/>
        </w:rPr>
      </w:pPr>
      <w:r w:rsidRPr="00E20D4D">
        <w:rPr>
          <w:rFonts w:cstheme="minorHAnsi"/>
          <w:lang w:val="en-GB"/>
        </w:rPr>
        <w:t>Service</w:t>
      </w:r>
      <w:r>
        <w:rPr>
          <w:rFonts w:cstheme="minorHAnsi"/>
          <w:lang w:val="en-GB"/>
        </w:rPr>
        <w:t>,</w:t>
      </w:r>
      <w:r w:rsidRPr="00E20D4D">
        <w:rPr>
          <w:rFonts w:cstheme="minorHAnsi"/>
          <w:lang w:val="en-GB"/>
        </w:rPr>
        <w:t xml:space="preserve"> Robert (2014)</w:t>
      </w:r>
      <w:r>
        <w:rPr>
          <w:rFonts w:cstheme="minorHAnsi"/>
          <w:lang w:val="en-GB"/>
        </w:rPr>
        <w:t>:</w:t>
      </w:r>
      <w:r w:rsidRPr="00E20D4D">
        <w:rPr>
          <w:rFonts w:cstheme="minorHAnsi"/>
          <w:lang w:val="en-GB"/>
        </w:rPr>
        <w:t xml:space="preserve"> Nano-Imaging Feud Sets Online Sites Sizzling. </w:t>
      </w:r>
      <w:r w:rsidRPr="00E20D4D">
        <w:rPr>
          <w:rFonts w:cstheme="minorHAnsi"/>
          <w:i/>
          <w:lang w:val="en-GB"/>
        </w:rPr>
        <w:t>Science</w:t>
      </w:r>
      <w:r w:rsidRPr="00E20D4D">
        <w:rPr>
          <w:rFonts w:cstheme="minorHAnsi"/>
          <w:lang w:val="en-GB"/>
        </w:rPr>
        <w:t xml:space="preserve"> 343:</w:t>
      </w:r>
      <w:r>
        <w:rPr>
          <w:rFonts w:cstheme="minorHAnsi"/>
          <w:lang w:val="en-GB"/>
        </w:rPr>
        <w:t xml:space="preserve"> </w:t>
      </w:r>
      <w:r w:rsidRPr="00E20D4D">
        <w:rPr>
          <w:rFonts w:cstheme="minorHAnsi"/>
          <w:lang w:val="en-GB"/>
        </w:rPr>
        <w:t>358.</w:t>
      </w:r>
    </w:p>
    <w:p w14:paraId="0777D438" w14:textId="23024FD8" w:rsidR="000557C9" w:rsidRPr="00A937B8" w:rsidRDefault="000557C9" w:rsidP="000557C9">
      <w:pPr>
        <w:rPr>
          <w:rFonts w:cstheme="minorHAnsi"/>
          <w:lang w:val="en-GB"/>
        </w:rPr>
      </w:pPr>
      <w:proofErr w:type="spellStart"/>
      <w:r>
        <w:rPr>
          <w:rFonts w:cstheme="minorHAnsi"/>
          <w:lang w:val="en-GB"/>
        </w:rPr>
        <w:t>Sterman</w:t>
      </w:r>
      <w:proofErr w:type="spellEnd"/>
      <w:r>
        <w:rPr>
          <w:rFonts w:cstheme="minorHAnsi"/>
          <w:lang w:val="en-GB"/>
        </w:rPr>
        <w:t xml:space="preserve">, John D. (2012): </w:t>
      </w:r>
      <w:r w:rsidRPr="000557C9">
        <w:rPr>
          <w:rFonts w:cstheme="minorHAnsi"/>
          <w:lang w:val="en-GB"/>
        </w:rPr>
        <w:t>Sustaining Sustainability: Creating a Systems</w:t>
      </w:r>
      <w:r>
        <w:rPr>
          <w:rFonts w:cstheme="minorHAnsi"/>
          <w:lang w:val="en-GB"/>
        </w:rPr>
        <w:t xml:space="preserve"> </w:t>
      </w:r>
      <w:r w:rsidRPr="000557C9">
        <w:rPr>
          <w:rFonts w:cstheme="minorHAnsi"/>
          <w:lang w:val="en-GB"/>
        </w:rPr>
        <w:t>Science in a Fragmented Academy</w:t>
      </w:r>
      <w:r>
        <w:rPr>
          <w:rFonts w:cstheme="minorHAnsi"/>
          <w:lang w:val="en-GB"/>
        </w:rPr>
        <w:t xml:space="preserve"> </w:t>
      </w:r>
      <w:r w:rsidRPr="000557C9">
        <w:rPr>
          <w:rFonts w:cstheme="minorHAnsi"/>
          <w:lang w:val="en-GB"/>
        </w:rPr>
        <w:t>and Polarized World</w:t>
      </w:r>
      <w:r>
        <w:rPr>
          <w:rFonts w:cstheme="minorHAnsi"/>
          <w:lang w:val="en-GB"/>
        </w:rPr>
        <w:t xml:space="preserve">, in: </w:t>
      </w:r>
      <w:r w:rsidRPr="000557C9">
        <w:rPr>
          <w:rFonts w:cstheme="minorHAnsi"/>
          <w:lang w:val="en-GB"/>
        </w:rPr>
        <w:t xml:space="preserve">M.P. Weinstein and R.E. Turner (eds.), </w:t>
      </w:r>
      <w:r w:rsidRPr="000557C9">
        <w:rPr>
          <w:rFonts w:cstheme="minorHAnsi"/>
          <w:i/>
          <w:iCs/>
          <w:lang w:val="en-GB"/>
        </w:rPr>
        <w:t>Sustainability Science: The Emerging Paradigm and the Urban Environment</w:t>
      </w:r>
      <w:r w:rsidRPr="000557C9">
        <w:rPr>
          <w:rFonts w:cstheme="minorHAnsi"/>
          <w:lang w:val="en-GB"/>
        </w:rPr>
        <w:t>, Springer</w:t>
      </w:r>
      <w:r>
        <w:rPr>
          <w:rFonts w:cstheme="minorHAnsi"/>
          <w:lang w:val="en-GB"/>
        </w:rPr>
        <w:t>, S. 21–58.</w:t>
      </w:r>
    </w:p>
    <w:p w14:paraId="169330C5" w14:textId="4DFA2792" w:rsidR="00AA6BD0" w:rsidRDefault="00AA6BD0" w:rsidP="00AA6BD0">
      <w:pPr>
        <w:rPr>
          <w:rFonts w:cstheme="minorHAnsi"/>
          <w:lang w:val="en-GB"/>
        </w:rPr>
      </w:pPr>
      <w:r>
        <w:rPr>
          <w:rFonts w:cstheme="minorHAnsi"/>
          <w:lang w:val="en-GB"/>
        </w:rPr>
        <w:t xml:space="preserve">Tufte, Edward R. (1983): </w:t>
      </w:r>
      <w:r w:rsidRPr="005A76F2">
        <w:rPr>
          <w:rFonts w:cstheme="minorHAnsi"/>
          <w:i/>
          <w:lang w:val="en-GB"/>
        </w:rPr>
        <w:t>The Visual Display of Quantitative Information</w:t>
      </w:r>
      <w:r>
        <w:rPr>
          <w:rFonts w:cstheme="minorHAnsi"/>
          <w:lang w:val="en-GB"/>
        </w:rPr>
        <w:t>, Graphics. Chapter</w:t>
      </w:r>
      <w:r w:rsidR="00061335">
        <w:rPr>
          <w:rFonts w:cstheme="minorHAnsi"/>
          <w:lang w:val="en-GB"/>
        </w:rPr>
        <w:t>s</w:t>
      </w:r>
      <w:r>
        <w:rPr>
          <w:rFonts w:cstheme="minorHAnsi"/>
          <w:lang w:val="en-GB"/>
        </w:rPr>
        <w:t xml:space="preserve"> </w:t>
      </w:r>
      <w:r w:rsidR="00061335">
        <w:rPr>
          <w:rFonts w:cstheme="minorHAnsi"/>
          <w:lang w:val="en-GB"/>
        </w:rPr>
        <w:t xml:space="preserve">2: </w:t>
      </w:r>
      <w:r w:rsidR="00061335">
        <w:t>Graphical integrity,</w:t>
      </w:r>
      <w:r w:rsidR="00061335">
        <w:rPr>
          <w:rFonts w:cstheme="minorHAnsi"/>
          <w:lang w:val="en-GB"/>
        </w:rPr>
        <w:t xml:space="preserve"> </w:t>
      </w:r>
      <w:r w:rsidR="000557C9">
        <w:rPr>
          <w:rFonts w:cstheme="minorHAnsi"/>
          <w:lang w:val="en-GB"/>
        </w:rPr>
        <w:t xml:space="preserve">and </w:t>
      </w:r>
      <w:r>
        <w:rPr>
          <w:rFonts w:cstheme="minorHAnsi"/>
          <w:lang w:val="en-GB"/>
        </w:rPr>
        <w:t xml:space="preserve">5: </w:t>
      </w:r>
      <w:proofErr w:type="spellStart"/>
      <w:r w:rsidR="00E20D4D">
        <w:t>Chartjunk</w:t>
      </w:r>
      <w:proofErr w:type="spellEnd"/>
      <w:r w:rsidR="00E20D4D">
        <w:t>: vibrations, grids, and ducks.</w:t>
      </w:r>
    </w:p>
    <w:p w14:paraId="27C2AFF0" w14:textId="77777777" w:rsidR="00C73D88" w:rsidRDefault="00C73D88" w:rsidP="00FF0FAD">
      <w:pPr>
        <w:rPr>
          <w:rFonts w:cstheme="minorHAnsi"/>
          <w:lang w:val="en-GB"/>
        </w:rPr>
      </w:pPr>
    </w:p>
    <w:p w14:paraId="72E450C4" w14:textId="77777777" w:rsidR="00BB53E7" w:rsidRPr="00F42B85" w:rsidRDefault="00BB53E7" w:rsidP="00FF0FAD">
      <w:pPr>
        <w:rPr>
          <w:rFonts w:cstheme="minorHAnsi"/>
          <w:u w:val="single"/>
          <w:lang w:val="en-GB"/>
        </w:rPr>
      </w:pPr>
      <w:proofErr w:type="spellStart"/>
      <w:r w:rsidRPr="00F42B85">
        <w:rPr>
          <w:rFonts w:cstheme="minorHAnsi"/>
          <w:u w:val="single"/>
          <w:lang w:val="en-GB"/>
        </w:rPr>
        <w:t>Weiterführende</w:t>
      </w:r>
      <w:proofErr w:type="spellEnd"/>
      <w:r w:rsidRPr="00F42B85">
        <w:rPr>
          <w:rFonts w:cstheme="minorHAnsi"/>
          <w:u w:val="single"/>
          <w:lang w:val="en-GB"/>
        </w:rPr>
        <w:t xml:space="preserve"> </w:t>
      </w:r>
      <w:proofErr w:type="spellStart"/>
      <w:r w:rsidRPr="00F42B85">
        <w:rPr>
          <w:rFonts w:cstheme="minorHAnsi"/>
          <w:u w:val="single"/>
          <w:lang w:val="en-GB"/>
        </w:rPr>
        <w:t>Literatur</w:t>
      </w:r>
      <w:proofErr w:type="spellEnd"/>
    </w:p>
    <w:p w14:paraId="3BFB7374" w14:textId="77777777" w:rsidR="00BB53E7" w:rsidRDefault="00BB53E7" w:rsidP="00FF0FAD">
      <w:pPr>
        <w:rPr>
          <w:rFonts w:cstheme="minorHAnsi"/>
          <w:lang w:val="en-GB"/>
        </w:rPr>
      </w:pPr>
      <w:proofErr w:type="spellStart"/>
      <w:r>
        <w:rPr>
          <w:rFonts w:cstheme="minorHAnsi"/>
          <w:lang w:val="en-GB"/>
        </w:rPr>
        <w:t>Akerlof</w:t>
      </w:r>
      <w:proofErr w:type="spellEnd"/>
      <w:r>
        <w:rPr>
          <w:rFonts w:cstheme="minorHAnsi"/>
          <w:lang w:val="en-GB"/>
        </w:rPr>
        <w:t xml:space="preserve">, George A., Robert J. Shiller (2015): </w:t>
      </w:r>
      <w:r w:rsidRPr="005A76F2">
        <w:rPr>
          <w:rFonts w:cstheme="minorHAnsi"/>
          <w:i/>
          <w:lang w:val="en-GB"/>
        </w:rPr>
        <w:t xml:space="preserve">Phishing for </w:t>
      </w:r>
      <w:proofErr w:type="spellStart"/>
      <w:r w:rsidRPr="005A76F2">
        <w:rPr>
          <w:rFonts w:cstheme="minorHAnsi"/>
          <w:i/>
          <w:lang w:val="en-GB"/>
        </w:rPr>
        <w:t>Phools</w:t>
      </w:r>
      <w:proofErr w:type="spellEnd"/>
      <w:r>
        <w:rPr>
          <w:rFonts w:cstheme="minorHAnsi"/>
          <w:lang w:val="en-GB"/>
        </w:rPr>
        <w:t>, Princeton University.</w:t>
      </w:r>
    </w:p>
    <w:p w14:paraId="3888F38C" w14:textId="77777777" w:rsidR="006F5576" w:rsidRDefault="006F5576" w:rsidP="00FF0FAD">
      <w:pPr>
        <w:rPr>
          <w:rFonts w:cstheme="minorHAnsi"/>
          <w:lang w:val="en-GB"/>
        </w:rPr>
      </w:pPr>
      <w:proofErr w:type="spellStart"/>
      <w:r>
        <w:rPr>
          <w:rFonts w:cstheme="minorHAnsi"/>
          <w:lang w:val="en-GB"/>
        </w:rPr>
        <w:t>Arbesman</w:t>
      </w:r>
      <w:proofErr w:type="spellEnd"/>
      <w:r>
        <w:rPr>
          <w:rFonts w:cstheme="minorHAnsi"/>
          <w:lang w:val="en-GB"/>
        </w:rPr>
        <w:t xml:space="preserve">, Samuel (2012): </w:t>
      </w:r>
      <w:r w:rsidRPr="005A76F2">
        <w:rPr>
          <w:rFonts w:cstheme="minorHAnsi"/>
          <w:i/>
          <w:lang w:val="en-GB"/>
        </w:rPr>
        <w:t>The Half-Life of Facts</w:t>
      </w:r>
      <w:r>
        <w:rPr>
          <w:rFonts w:cstheme="minorHAnsi"/>
          <w:lang w:val="en-GB"/>
        </w:rPr>
        <w:t>, Current.</w:t>
      </w:r>
    </w:p>
    <w:p w14:paraId="78F4037E" w14:textId="77777777" w:rsidR="00BB53E7" w:rsidRPr="00E70E9C" w:rsidRDefault="00BB53E7" w:rsidP="00FF0FAD">
      <w:pPr>
        <w:rPr>
          <w:rFonts w:cstheme="minorHAnsi"/>
          <w:lang w:val="de-DE"/>
        </w:rPr>
      </w:pPr>
      <w:r>
        <w:rPr>
          <w:rFonts w:cstheme="minorHAnsi"/>
          <w:lang w:val="en-GB"/>
        </w:rPr>
        <w:t xml:space="preserve">Babbie, Earl (2010): </w:t>
      </w:r>
      <w:r w:rsidRPr="005A76F2">
        <w:rPr>
          <w:rFonts w:cstheme="minorHAnsi"/>
          <w:i/>
          <w:lang w:val="en-GB"/>
        </w:rPr>
        <w:t>The Practice of Social Research</w:t>
      </w:r>
      <w:r>
        <w:rPr>
          <w:rFonts w:cstheme="minorHAnsi"/>
          <w:lang w:val="en-GB"/>
        </w:rPr>
        <w:t xml:space="preserve">, </w:t>
      </w:r>
      <w:r w:rsidR="00B4307C">
        <w:rPr>
          <w:rFonts w:cstheme="minorHAnsi"/>
          <w:lang w:val="en-GB"/>
        </w:rPr>
        <w:t>12. </w:t>
      </w:r>
      <w:r w:rsidR="00B4307C" w:rsidRPr="00E70E9C">
        <w:rPr>
          <w:rFonts w:cstheme="minorHAnsi"/>
          <w:lang w:val="de-DE"/>
        </w:rPr>
        <w:t xml:space="preserve">Auflage, </w:t>
      </w:r>
      <w:r w:rsidRPr="00E70E9C">
        <w:rPr>
          <w:rFonts w:cstheme="minorHAnsi"/>
          <w:lang w:val="de-DE"/>
        </w:rPr>
        <w:t>Wadsworth.</w:t>
      </w:r>
    </w:p>
    <w:p w14:paraId="4436FD79" w14:textId="77777777" w:rsidR="005A76F2" w:rsidRPr="00E70E9C" w:rsidRDefault="005A76F2" w:rsidP="00FF0FAD">
      <w:pPr>
        <w:rPr>
          <w:rFonts w:cstheme="minorHAnsi"/>
          <w:lang w:val="en-GB"/>
        </w:rPr>
      </w:pPr>
      <w:r w:rsidRPr="00B4307C">
        <w:rPr>
          <w:rFonts w:cstheme="minorHAnsi"/>
          <w:lang w:val="de-DE"/>
        </w:rPr>
        <w:t xml:space="preserve">Döring, Nicola, Jürgen Bortz (2012): </w:t>
      </w:r>
      <w:r w:rsidR="00B4307C" w:rsidRPr="00B4307C">
        <w:rPr>
          <w:rFonts w:cstheme="minorHAnsi"/>
          <w:i/>
          <w:lang w:val="de-DE"/>
        </w:rPr>
        <w:t>Forschungsmethoden und Evaluation in den Sozial- und Humanwissenschaften</w:t>
      </w:r>
      <w:r w:rsidR="00B4307C">
        <w:rPr>
          <w:rFonts w:cstheme="minorHAnsi"/>
          <w:lang w:val="de-DE"/>
        </w:rPr>
        <w:t xml:space="preserve">, 5. </w:t>
      </w:r>
      <w:proofErr w:type="spellStart"/>
      <w:r w:rsidR="00B4307C" w:rsidRPr="00E70E9C">
        <w:rPr>
          <w:rFonts w:cstheme="minorHAnsi"/>
          <w:lang w:val="en-GB"/>
        </w:rPr>
        <w:t>Auflage</w:t>
      </w:r>
      <w:proofErr w:type="spellEnd"/>
      <w:r w:rsidR="00B4307C" w:rsidRPr="00E70E9C">
        <w:rPr>
          <w:rFonts w:cstheme="minorHAnsi"/>
          <w:lang w:val="en-GB"/>
        </w:rPr>
        <w:t>, Springer.</w:t>
      </w:r>
    </w:p>
    <w:p w14:paraId="0CA6D8D0" w14:textId="77777777" w:rsidR="005A76F2" w:rsidRDefault="005A76F2" w:rsidP="00FF0FAD">
      <w:pPr>
        <w:rPr>
          <w:rFonts w:cstheme="minorHAnsi"/>
          <w:lang w:val="en-GB"/>
        </w:rPr>
      </w:pPr>
      <w:r>
        <w:rPr>
          <w:rFonts w:cstheme="minorHAnsi"/>
          <w:lang w:val="en-GB"/>
        </w:rPr>
        <w:t xml:space="preserve">Field, Andy, Jeremy Miles, Zoe Field (2012): </w:t>
      </w:r>
      <w:r w:rsidRPr="005A76F2">
        <w:rPr>
          <w:rFonts w:cstheme="minorHAnsi"/>
          <w:i/>
          <w:lang w:val="en-GB"/>
        </w:rPr>
        <w:t>Discovering Statistics Using R</w:t>
      </w:r>
      <w:r>
        <w:rPr>
          <w:rFonts w:cstheme="minorHAnsi"/>
          <w:lang w:val="en-GB"/>
        </w:rPr>
        <w:t>, Sage.</w:t>
      </w:r>
    </w:p>
    <w:p w14:paraId="77D84C78" w14:textId="77777777" w:rsidR="006F5576" w:rsidRDefault="006F5576" w:rsidP="00FF0FAD">
      <w:pPr>
        <w:rPr>
          <w:rFonts w:cstheme="minorHAnsi"/>
          <w:lang w:val="en-GB"/>
        </w:rPr>
      </w:pPr>
      <w:proofErr w:type="spellStart"/>
      <w:r>
        <w:rPr>
          <w:rFonts w:cstheme="minorHAnsi"/>
          <w:lang w:val="en-GB"/>
        </w:rPr>
        <w:t>Gravetter</w:t>
      </w:r>
      <w:proofErr w:type="spellEnd"/>
      <w:r>
        <w:rPr>
          <w:rFonts w:cstheme="minorHAnsi"/>
          <w:lang w:val="en-GB"/>
        </w:rPr>
        <w:t xml:space="preserve">, Frederick J., Lori-Ann B. </w:t>
      </w:r>
      <w:proofErr w:type="spellStart"/>
      <w:r>
        <w:rPr>
          <w:rFonts w:cstheme="minorHAnsi"/>
          <w:lang w:val="en-GB"/>
        </w:rPr>
        <w:t>Forzano</w:t>
      </w:r>
      <w:proofErr w:type="spellEnd"/>
      <w:r>
        <w:rPr>
          <w:rFonts w:cstheme="minorHAnsi"/>
          <w:lang w:val="en-GB"/>
        </w:rPr>
        <w:t xml:space="preserve"> (2012): </w:t>
      </w:r>
      <w:r w:rsidRPr="005A76F2">
        <w:rPr>
          <w:rFonts w:cstheme="minorHAnsi"/>
          <w:i/>
          <w:lang w:val="en-GB"/>
        </w:rPr>
        <w:t xml:space="preserve">Research Methods for the </w:t>
      </w:r>
      <w:proofErr w:type="spellStart"/>
      <w:r w:rsidRPr="005A76F2">
        <w:rPr>
          <w:rFonts w:cstheme="minorHAnsi"/>
          <w:i/>
          <w:lang w:val="en-GB"/>
        </w:rPr>
        <w:t>Behavioral</w:t>
      </w:r>
      <w:proofErr w:type="spellEnd"/>
      <w:r w:rsidRPr="005A76F2">
        <w:rPr>
          <w:rFonts w:cstheme="minorHAnsi"/>
          <w:i/>
          <w:lang w:val="en-GB"/>
        </w:rPr>
        <w:t xml:space="preserve"> Sciences</w:t>
      </w:r>
      <w:r>
        <w:rPr>
          <w:rFonts w:cstheme="minorHAnsi"/>
          <w:lang w:val="en-GB"/>
        </w:rPr>
        <w:t xml:space="preserve">, </w:t>
      </w:r>
      <w:r w:rsidR="00B4307C">
        <w:rPr>
          <w:rFonts w:cstheme="minorHAnsi"/>
          <w:lang w:val="en-GB"/>
        </w:rPr>
        <w:t>4. </w:t>
      </w:r>
      <w:proofErr w:type="spellStart"/>
      <w:r w:rsidR="00B4307C">
        <w:rPr>
          <w:rFonts w:cstheme="minorHAnsi"/>
          <w:lang w:val="en-GB"/>
        </w:rPr>
        <w:t>Auflage</w:t>
      </w:r>
      <w:proofErr w:type="spellEnd"/>
      <w:r w:rsidR="00B4307C">
        <w:rPr>
          <w:rFonts w:cstheme="minorHAnsi"/>
          <w:lang w:val="en-GB"/>
        </w:rPr>
        <w:t xml:space="preserve">, </w:t>
      </w:r>
      <w:r>
        <w:rPr>
          <w:rFonts w:cstheme="minorHAnsi"/>
          <w:lang w:val="en-GB"/>
        </w:rPr>
        <w:t>Wadsworth.</w:t>
      </w:r>
    </w:p>
    <w:p w14:paraId="3FFA9E8A" w14:textId="77777777" w:rsidR="006F5576" w:rsidRDefault="006F5576" w:rsidP="00FF0FAD">
      <w:pPr>
        <w:rPr>
          <w:rFonts w:cstheme="minorHAnsi"/>
          <w:lang w:val="en-GB"/>
        </w:rPr>
      </w:pPr>
      <w:r>
        <w:rPr>
          <w:rFonts w:cstheme="minorHAnsi"/>
          <w:lang w:val="en-GB"/>
        </w:rPr>
        <w:t xml:space="preserve">Keen, Steve (2011): </w:t>
      </w:r>
      <w:r w:rsidRPr="005A76F2">
        <w:rPr>
          <w:rFonts w:cstheme="minorHAnsi"/>
          <w:i/>
          <w:lang w:val="en-GB"/>
        </w:rPr>
        <w:t>Debunking Economics</w:t>
      </w:r>
      <w:r>
        <w:rPr>
          <w:rFonts w:cstheme="minorHAnsi"/>
          <w:lang w:val="en-GB"/>
        </w:rPr>
        <w:t>, Zed.</w:t>
      </w:r>
    </w:p>
    <w:p w14:paraId="0CA0F338" w14:textId="36E75CD9" w:rsidR="00BB53E7" w:rsidRDefault="00BB53E7" w:rsidP="00FF0FAD">
      <w:pPr>
        <w:rPr>
          <w:rFonts w:cstheme="minorHAnsi"/>
          <w:lang w:val="en-GB"/>
        </w:rPr>
      </w:pPr>
      <w:r>
        <w:rPr>
          <w:rFonts w:cstheme="minorHAnsi"/>
          <w:lang w:val="en-GB"/>
        </w:rPr>
        <w:t xml:space="preserve">Levitin, Daniel (2016): </w:t>
      </w:r>
      <w:r w:rsidRPr="005A76F2">
        <w:rPr>
          <w:rFonts w:cstheme="minorHAnsi"/>
          <w:i/>
          <w:lang w:val="en-GB"/>
        </w:rPr>
        <w:t>A Field Guide to Lies and Statistics</w:t>
      </w:r>
      <w:r>
        <w:rPr>
          <w:rFonts w:cstheme="minorHAnsi"/>
          <w:lang w:val="en-GB"/>
        </w:rPr>
        <w:t>, Viking.</w:t>
      </w:r>
    </w:p>
    <w:p w14:paraId="4D0D6C50" w14:textId="630CBBE7" w:rsidR="00C875D7" w:rsidRDefault="00C875D7" w:rsidP="00FF0FAD">
      <w:pPr>
        <w:rPr>
          <w:rFonts w:cstheme="minorHAnsi"/>
          <w:lang w:val="en-GB"/>
        </w:rPr>
      </w:pPr>
      <w:r>
        <w:rPr>
          <w:rFonts w:cstheme="minorHAnsi"/>
          <w:lang w:val="en-GB"/>
        </w:rPr>
        <w:t xml:space="preserve">Pearl, Judea, Dana Mackenzie (2018): </w:t>
      </w:r>
      <w:r w:rsidRPr="00C875D7">
        <w:rPr>
          <w:rFonts w:cstheme="minorHAnsi"/>
          <w:i/>
          <w:lang w:val="en-GB"/>
        </w:rPr>
        <w:t>The Book of Why: The New Science of Cause and Effect</w:t>
      </w:r>
      <w:r>
        <w:rPr>
          <w:rFonts w:cstheme="minorHAnsi"/>
          <w:lang w:val="en-GB"/>
        </w:rPr>
        <w:t>, Basic.</w:t>
      </w:r>
    </w:p>
    <w:p w14:paraId="159F7214" w14:textId="77777777" w:rsidR="00BB53E7" w:rsidRDefault="00BB53E7" w:rsidP="00FF0FAD">
      <w:pPr>
        <w:rPr>
          <w:rFonts w:cstheme="minorHAnsi"/>
          <w:lang w:val="en-GB"/>
        </w:rPr>
      </w:pPr>
      <w:r>
        <w:rPr>
          <w:rFonts w:cstheme="minorHAnsi"/>
          <w:lang w:val="en-GB"/>
        </w:rPr>
        <w:t xml:space="preserve">Rosenzweig, Phil (2007): </w:t>
      </w:r>
      <w:r w:rsidRPr="005A76F2">
        <w:rPr>
          <w:rFonts w:cstheme="minorHAnsi"/>
          <w:i/>
          <w:lang w:val="en-GB"/>
        </w:rPr>
        <w:t>The Halo Effect</w:t>
      </w:r>
      <w:r>
        <w:rPr>
          <w:rFonts w:cstheme="minorHAnsi"/>
          <w:lang w:val="en-GB"/>
        </w:rPr>
        <w:t>, Free.</w:t>
      </w:r>
    </w:p>
    <w:p w14:paraId="20E82EBA" w14:textId="77777777" w:rsidR="00BB53E7" w:rsidRDefault="00BB53E7" w:rsidP="00FF0FAD">
      <w:pPr>
        <w:rPr>
          <w:rFonts w:cstheme="minorHAnsi"/>
          <w:lang w:val="en-GB"/>
        </w:rPr>
      </w:pPr>
      <w:r>
        <w:rPr>
          <w:rFonts w:cstheme="minorHAnsi"/>
          <w:lang w:val="en-GB"/>
        </w:rPr>
        <w:t xml:space="preserve">Silver, Nate (2012): </w:t>
      </w:r>
      <w:r w:rsidRPr="005A76F2">
        <w:rPr>
          <w:rFonts w:cstheme="minorHAnsi"/>
          <w:i/>
          <w:lang w:val="en-GB"/>
        </w:rPr>
        <w:t>The Signal and the Noise</w:t>
      </w:r>
      <w:r>
        <w:rPr>
          <w:rFonts w:cstheme="minorHAnsi"/>
          <w:lang w:val="en-GB"/>
        </w:rPr>
        <w:t>, Penguin.</w:t>
      </w:r>
    </w:p>
    <w:p w14:paraId="065557A9" w14:textId="77777777" w:rsidR="00BB53E7" w:rsidRPr="00696D54" w:rsidRDefault="00BB53E7" w:rsidP="00FF0FAD">
      <w:pPr>
        <w:rPr>
          <w:rFonts w:cstheme="minorHAnsi"/>
          <w:lang w:val="en-GB"/>
        </w:rPr>
      </w:pPr>
      <w:proofErr w:type="spellStart"/>
      <w:r>
        <w:rPr>
          <w:rFonts w:cstheme="minorHAnsi"/>
          <w:lang w:val="en-GB"/>
        </w:rPr>
        <w:t>Wainer</w:t>
      </w:r>
      <w:proofErr w:type="spellEnd"/>
      <w:r>
        <w:rPr>
          <w:rFonts w:cstheme="minorHAnsi"/>
          <w:lang w:val="en-GB"/>
        </w:rPr>
        <w:t xml:space="preserve">, Howard (2009): </w:t>
      </w:r>
      <w:r w:rsidRPr="005A76F2">
        <w:rPr>
          <w:rFonts w:cstheme="minorHAnsi"/>
          <w:i/>
          <w:lang w:val="en-GB"/>
        </w:rPr>
        <w:t>Picturing the Uncertain World</w:t>
      </w:r>
      <w:r>
        <w:rPr>
          <w:rFonts w:cstheme="minorHAnsi"/>
          <w:lang w:val="en-GB"/>
        </w:rPr>
        <w:t>, Princeton University.</w:t>
      </w:r>
    </w:p>
    <w:sectPr w:rsidR="00BB53E7" w:rsidRPr="00696D54" w:rsidSect="00036A9F">
      <w:footerReference w:type="default" r:id="rId7"/>
      <w:pgSz w:w="12240" w:h="15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F5FC2" w14:textId="77777777" w:rsidR="00CD73CE" w:rsidRDefault="00CD73CE" w:rsidP="00036A9F">
      <w:pPr>
        <w:spacing w:after="0" w:line="240" w:lineRule="auto"/>
      </w:pPr>
      <w:r>
        <w:separator/>
      </w:r>
    </w:p>
  </w:endnote>
  <w:endnote w:type="continuationSeparator" w:id="0">
    <w:p w14:paraId="00C321D2" w14:textId="77777777" w:rsidR="00CD73CE" w:rsidRDefault="00CD73CE" w:rsidP="00036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961654"/>
      <w:docPartObj>
        <w:docPartGallery w:val="Page Numbers (Bottom of Page)"/>
        <w:docPartUnique/>
      </w:docPartObj>
    </w:sdtPr>
    <w:sdtEndPr/>
    <w:sdtContent>
      <w:p w14:paraId="201BDAC2" w14:textId="4C7ED2CF" w:rsidR="00036A9F" w:rsidRDefault="00036A9F">
        <w:pPr>
          <w:pStyle w:val="Fuzeile"/>
          <w:jc w:val="right"/>
        </w:pPr>
        <w:r>
          <w:fldChar w:fldCharType="begin"/>
        </w:r>
        <w:r>
          <w:instrText>PAGE   \* MERGEFORMAT</w:instrText>
        </w:r>
        <w:r>
          <w:fldChar w:fldCharType="separate"/>
        </w:r>
        <w:r w:rsidR="00485C23" w:rsidRPr="00485C23">
          <w:rPr>
            <w:noProof/>
            <w:lang w:val="de-DE"/>
          </w:rPr>
          <w:t>3</w:t>
        </w:r>
        <w:r>
          <w:fldChar w:fldCharType="end"/>
        </w:r>
      </w:p>
    </w:sdtContent>
  </w:sdt>
  <w:p w14:paraId="67A405D0" w14:textId="77777777" w:rsidR="00036A9F" w:rsidRDefault="00036A9F">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4A0A5" w14:textId="77777777" w:rsidR="00CD73CE" w:rsidRDefault="00CD73CE" w:rsidP="00036A9F">
      <w:pPr>
        <w:spacing w:after="0" w:line="240" w:lineRule="auto"/>
      </w:pPr>
      <w:r>
        <w:separator/>
      </w:r>
    </w:p>
  </w:footnote>
  <w:footnote w:type="continuationSeparator" w:id="0">
    <w:p w14:paraId="0F6C3C1F" w14:textId="77777777" w:rsidR="00CD73CE" w:rsidRDefault="00CD73CE" w:rsidP="00036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F33"/>
    <w:multiLevelType w:val="hybridMultilevel"/>
    <w:tmpl w:val="F45A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86B29"/>
    <w:multiLevelType w:val="hybridMultilevel"/>
    <w:tmpl w:val="BB5EB434"/>
    <w:lvl w:ilvl="0" w:tplc="04070001">
      <w:start w:val="1"/>
      <w:numFmt w:val="bullet"/>
      <w:lvlText w:val=""/>
      <w:lvlJc w:val="left"/>
      <w:pPr>
        <w:ind w:left="735" w:hanging="360"/>
      </w:pPr>
      <w:rPr>
        <w:rFonts w:ascii="Symbol" w:hAnsi="Symbol" w:hint="default"/>
      </w:rPr>
    </w:lvl>
    <w:lvl w:ilvl="1" w:tplc="04070003" w:tentative="1">
      <w:start w:val="1"/>
      <w:numFmt w:val="bullet"/>
      <w:lvlText w:val="o"/>
      <w:lvlJc w:val="left"/>
      <w:pPr>
        <w:ind w:left="1455" w:hanging="360"/>
      </w:pPr>
      <w:rPr>
        <w:rFonts w:ascii="Courier New" w:hAnsi="Courier New" w:cs="Courier New" w:hint="default"/>
      </w:rPr>
    </w:lvl>
    <w:lvl w:ilvl="2" w:tplc="04070005" w:tentative="1">
      <w:start w:val="1"/>
      <w:numFmt w:val="bullet"/>
      <w:lvlText w:val=""/>
      <w:lvlJc w:val="left"/>
      <w:pPr>
        <w:ind w:left="2175" w:hanging="360"/>
      </w:pPr>
      <w:rPr>
        <w:rFonts w:ascii="Wingdings" w:hAnsi="Wingdings" w:hint="default"/>
      </w:rPr>
    </w:lvl>
    <w:lvl w:ilvl="3" w:tplc="04070001" w:tentative="1">
      <w:start w:val="1"/>
      <w:numFmt w:val="bullet"/>
      <w:lvlText w:val=""/>
      <w:lvlJc w:val="left"/>
      <w:pPr>
        <w:ind w:left="2895" w:hanging="360"/>
      </w:pPr>
      <w:rPr>
        <w:rFonts w:ascii="Symbol" w:hAnsi="Symbol" w:hint="default"/>
      </w:rPr>
    </w:lvl>
    <w:lvl w:ilvl="4" w:tplc="04070003" w:tentative="1">
      <w:start w:val="1"/>
      <w:numFmt w:val="bullet"/>
      <w:lvlText w:val="o"/>
      <w:lvlJc w:val="left"/>
      <w:pPr>
        <w:ind w:left="3615" w:hanging="360"/>
      </w:pPr>
      <w:rPr>
        <w:rFonts w:ascii="Courier New" w:hAnsi="Courier New" w:cs="Courier New" w:hint="default"/>
      </w:rPr>
    </w:lvl>
    <w:lvl w:ilvl="5" w:tplc="04070005" w:tentative="1">
      <w:start w:val="1"/>
      <w:numFmt w:val="bullet"/>
      <w:lvlText w:val=""/>
      <w:lvlJc w:val="left"/>
      <w:pPr>
        <w:ind w:left="4335" w:hanging="360"/>
      </w:pPr>
      <w:rPr>
        <w:rFonts w:ascii="Wingdings" w:hAnsi="Wingdings" w:hint="default"/>
      </w:rPr>
    </w:lvl>
    <w:lvl w:ilvl="6" w:tplc="04070001" w:tentative="1">
      <w:start w:val="1"/>
      <w:numFmt w:val="bullet"/>
      <w:lvlText w:val=""/>
      <w:lvlJc w:val="left"/>
      <w:pPr>
        <w:ind w:left="5055" w:hanging="360"/>
      </w:pPr>
      <w:rPr>
        <w:rFonts w:ascii="Symbol" w:hAnsi="Symbol" w:hint="default"/>
      </w:rPr>
    </w:lvl>
    <w:lvl w:ilvl="7" w:tplc="04070003" w:tentative="1">
      <w:start w:val="1"/>
      <w:numFmt w:val="bullet"/>
      <w:lvlText w:val="o"/>
      <w:lvlJc w:val="left"/>
      <w:pPr>
        <w:ind w:left="5775" w:hanging="360"/>
      </w:pPr>
      <w:rPr>
        <w:rFonts w:ascii="Courier New" w:hAnsi="Courier New" w:cs="Courier New" w:hint="default"/>
      </w:rPr>
    </w:lvl>
    <w:lvl w:ilvl="8" w:tplc="04070005" w:tentative="1">
      <w:start w:val="1"/>
      <w:numFmt w:val="bullet"/>
      <w:lvlText w:val=""/>
      <w:lvlJc w:val="left"/>
      <w:pPr>
        <w:ind w:left="6495" w:hanging="360"/>
      </w:pPr>
      <w:rPr>
        <w:rFonts w:ascii="Wingdings" w:hAnsi="Wingdings" w:hint="default"/>
      </w:rPr>
    </w:lvl>
  </w:abstractNum>
  <w:abstractNum w:abstractNumId="2" w15:restartNumberingAfterBreak="0">
    <w:nsid w:val="2FE2347D"/>
    <w:multiLevelType w:val="hybridMultilevel"/>
    <w:tmpl w:val="CB96BF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8D4934"/>
    <w:multiLevelType w:val="hybridMultilevel"/>
    <w:tmpl w:val="EB1C5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D446E2"/>
    <w:multiLevelType w:val="hybridMultilevel"/>
    <w:tmpl w:val="FE06B1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6FD"/>
    <w:rsid w:val="000058E1"/>
    <w:rsid w:val="00036A9F"/>
    <w:rsid w:val="00042F98"/>
    <w:rsid w:val="000557C9"/>
    <w:rsid w:val="00061335"/>
    <w:rsid w:val="00071C33"/>
    <w:rsid w:val="00080667"/>
    <w:rsid w:val="0008139F"/>
    <w:rsid w:val="000A6E18"/>
    <w:rsid w:val="000B284A"/>
    <w:rsid w:val="000B3318"/>
    <w:rsid w:val="000D6033"/>
    <w:rsid w:val="000E0E11"/>
    <w:rsid w:val="000E442C"/>
    <w:rsid w:val="000E4E4B"/>
    <w:rsid w:val="000E54E1"/>
    <w:rsid w:val="000E5FC4"/>
    <w:rsid w:val="00106992"/>
    <w:rsid w:val="001367C4"/>
    <w:rsid w:val="00140B5B"/>
    <w:rsid w:val="0016022C"/>
    <w:rsid w:val="001709CA"/>
    <w:rsid w:val="001714AD"/>
    <w:rsid w:val="00185766"/>
    <w:rsid w:val="001A2826"/>
    <w:rsid w:val="001D55B3"/>
    <w:rsid w:val="00220CF7"/>
    <w:rsid w:val="00236125"/>
    <w:rsid w:val="0024415A"/>
    <w:rsid w:val="00262DE7"/>
    <w:rsid w:val="002754D8"/>
    <w:rsid w:val="002766FF"/>
    <w:rsid w:val="00290132"/>
    <w:rsid w:val="00296EC5"/>
    <w:rsid w:val="002A7F9D"/>
    <w:rsid w:val="002B0BE3"/>
    <w:rsid w:val="002D157A"/>
    <w:rsid w:val="003322CC"/>
    <w:rsid w:val="00343370"/>
    <w:rsid w:val="003546E3"/>
    <w:rsid w:val="003572AE"/>
    <w:rsid w:val="00396D99"/>
    <w:rsid w:val="003B3888"/>
    <w:rsid w:val="003D7407"/>
    <w:rsid w:val="00402425"/>
    <w:rsid w:val="00404525"/>
    <w:rsid w:val="0041523A"/>
    <w:rsid w:val="00430F40"/>
    <w:rsid w:val="004335CD"/>
    <w:rsid w:val="00446745"/>
    <w:rsid w:val="00461B56"/>
    <w:rsid w:val="0048025E"/>
    <w:rsid w:val="00485C23"/>
    <w:rsid w:val="004A04C8"/>
    <w:rsid w:val="004B4C85"/>
    <w:rsid w:val="004B4FA2"/>
    <w:rsid w:val="004D3277"/>
    <w:rsid w:val="004E78E7"/>
    <w:rsid w:val="004E796A"/>
    <w:rsid w:val="004F5F1B"/>
    <w:rsid w:val="0050720C"/>
    <w:rsid w:val="00521644"/>
    <w:rsid w:val="005251D5"/>
    <w:rsid w:val="00531D6F"/>
    <w:rsid w:val="00540991"/>
    <w:rsid w:val="005546A7"/>
    <w:rsid w:val="00563240"/>
    <w:rsid w:val="00570CDF"/>
    <w:rsid w:val="00586055"/>
    <w:rsid w:val="005A76F2"/>
    <w:rsid w:val="005A7F7D"/>
    <w:rsid w:val="005B0BFE"/>
    <w:rsid w:val="005B1544"/>
    <w:rsid w:val="005B5083"/>
    <w:rsid w:val="005C23C1"/>
    <w:rsid w:val="005C5A57"/>
    <w:rsid w:val="005D2F77"/>
    <w:rsid w:val="005D6AB6"/>
    <w:rsid w:val="005F4A2B"/>
    <w:rsid w:val="006057A0"/>
    <w:rsid w:val="00610352"/>
    <w:rsid w:val="0062229F"/>
    <w:rsid w:val="00640B80"/>
    <w:rsid w:val="00645861"/>
    <w:rsid w:val="00656866"/>
    <w:rsid w:val="006746CF"/>
    <w:rsid w:val="00684A0E"/>
    <w:rsid w:val="00684B90"/>
    <w:rsid w:val="00687D7F"/>
    <w:rsid w:val="00696D54"/>
    <w:rsid w:val="006A3035"/>
    <w:rsid w:val="006F5576"/>
    <w:rsid w:val="007350B4"/>
    <w:rsid w:val="007449B0"/>
    <w:rsid w:val="00746FD5"/>
    <w:rsid w:val="007514A7"/>
    <w:rsid w:val="00760C40"/>
    <w:rsid w:val="00763810"/>
    <w:rsid w:val="007A0315"/>
    <w:rsid w:val="007A7307"/>
    <w:rsid w:val="007B14DF"/>
    <w:rsid w:val="007C0530"/>
    <w:rsid w:val="007E7CFF"/>
    <w:rsid w:val="008163B7"/>
    <w:rsid w:val="0084447D"/>
    <w:rsid w:val="00862044"/>
    <w:rsid w:val="008A2143"/>
    <w:rsid w:val="008A547D"/>
    <w:rsid w:val="008C5E71"/>
    <w:rsid w:val="008D4C08"/>
    <w:rsid w:val="008E3B9E"/>
    <w:rsid w:val="008E6B2D"/>
    <w:rsid w:val="009134C3"/>
    <w:rsid w:val="009162C4"/>
    <w:rsid w:val="00925639"/>
    <w:rsid w:val="00931A40"/>
    <w:rsid w:val="0094099E"/>
    <w:rsid w:val="009464F2"/>
    <w:rsid w:val="0096396E"/>
    <w:rsid w:val="00965857"/>
    <w:rsid w:val="009768B9"/>
    <w:rsid w:val="009A440A"/>
    <w:rsid w:val="009B40B3"/>
    <w:rsid w:val="009C1CBD"/>
    <w:rsid w:val="00A332F7"/>
    <w:rsid w:val="00A36CFD"/>
    <w:rsid w:val="00A4251A"/>
    <w:rsid w:val="00A43B63"/>
    <w:rsid w:val="00A61BFC"/>
    <w:rsid w:val="00A83DCA"/>
    <w:rsid w:val="00A937B8"/>
    <w:rsid w:val="00AA66FD"/>
    <w:rsid w:val="00AA6BD0"/>
    <w:rsid w:val="00AB1D74"/>
    <w:rsid w:val="00AC23E8"/>
    <w:rsid w:val="00AC7A55"/>
    <w:rsid w:val="00B212C6"/>
    <w:rsid w:val="00B4307C"/>
    <w:rsid w:val="00B451C6"/>
    <w:rsid w:val="00B50D28"/>
    <w:rsid w:val="00B52F48"/>
    <w:rsid w:val="00B57F56"/>
    <w:rsid w:val="00B63762"/>
    <w:rsid w:val="00B76E68"/>
    <w:rsid w:val="00BA3D4A"/>
    <w:rsid w:val="00BA4A56"/>
    <w:rsid w:val="00BA7C3A"/>
    <w:rsid w:val="00BB24D9"/>
    <w:rsid w:val="00BB3010"/>
    <w:rsid w:val="00BB53E7"/>
    <w:rsid w:val="00BC6B80"/>
    <w:rsid w:val="00BF6139"/>
    <w:rsid w:val="00C05F4C"/>
    <w:rsid w:val="00C10286"/>
    <w:rsid w:val="00C11601"/>
    <w:rsid w:val="00C17C35"/>
    <w:rsid w:val="00C72B84"/>
    <w:rsid w:val="00C73D88"/>
    <w:rsid w:val="00C875D7"/>
    <w:rsid w:val="00C95C69"/>
    <w:rsid w:val="00CA6677"/>
    <w:rsid w:val="00CC59D3"/>
    <w:rsid w:val="00CD6576"/>
    <w:rsid w:val="00CD73CE"/>
    <w:rsid w:val="00D02D69"/>
    <w:rsid w:val="00D2101A"/>
    <w:rsid w:val="00D3139A"/>
    <w:rsid w:val="00D35DFD"/>
    <w:rsid w:val="00D70D11"/>
    <w:rsid w:val="00D70D4C"/>
    <w:rsid w:val="00D727BE"/>
    <w:rsid w:val="00D85F29"/>
    <w:rsid w:val="00DA2F25"/>
    <w:rsid w:val="00DB6F3D"/>
    <w:rsid w:val="00DC5740"/>
    <w:rsid w:val="00DC5A94"/>
    <w:rsid w:val="00DD18FE"/>
    <w:rsid w:val="00DD2672"/>
    <w:rsid w:val="00E05FFE"/>
    <w:rsid w:val="00E20D4D"/>
    <w:rsid w:val="00E22891"/>
    <w:rsid w:val="00E3008E"/>
    <w:rsid w:val="00E70E9C"/>
    <w:rsid w:val="00E7236E"/>
    <w:rsid w:val="00E843C0"/>
    <w:rsid w:val="00EC3100"/>
    <w:rsid w:val="00EE03F8"/>
    <w:rsid w:val="00EE2525"/>
    <w:rsid w:val="00F011EA"/>
    <w:rsid w:val="00F0797C"/>
    <w:rsid w:val="00F11564"/>
    <w:rsid w:val="00F17C37"/>
    <w:rsid w:val="00F42B85"/>
    <w:rsid w:val="00F726EB"/>
    <w:rsid w:val="00F73732"/>
    <w:rsid w:val="00FA67DA"/>
    <w:rsid w:val="00FE18B1"/>
    <w:rsid w:val="00FE4B42"/>
    <w:rsid w:val="00FF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08C2A"/>
  <w15:chartTrackingRefBased/>
  <w15:docId w15:val="{5BFE4A86-742F-4AA6-8ACD-6D7BF747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71C33"/>
    <w:pPr>
      <w:ind w:left="720"/>
      <w:contextualSpacing/>
    </w:pPr>
  </w:style>
  <w:style w:type="table" w:styleId="Tabellenraster">
    <w:name w:val="Table Grid"/>
    <w:basedOn w:val="NormaleTabelle"/>
    <w:uiPriority w:val="39"/>
    <w:rsid w:val="00FF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F5F1B"/>
    <w:rPr>
      <w:color w:val="0563C1" w:themeColor="hyperlink"/>
      <w:u w:val="single"/>
    </w:rPr>
  </w:style>
  <w:style w:type="character" w:customStyle="1" w:styleId="NichtaufgelsteErwhnung1">
    <w:name w:val="Nicht aufgelöste Erwähnung1"/>
    <w:basedOn w:val="Absatz-Standardschriftart"/>
    <w:uiPriority w:val="99"/>
    <w:semiHidden/>
    <w:unhideWhenUsed/>
    <w:rsid w:val="004F5F1B"/>
    <w:rPr>
      <w:color w:val="808080"/>
      <w:shd w:val="clear" w:color="auto" w:fill="E6E6E6"/>
    </w:rPr>
  </w:style>
  <w:style w:type="character" w:styleId="Hervorhebung">
    <w:name w:val="Emphasis"/>
    <w:basedOn w:val="Absatz-Standardschriftart"/>
    <w:uiPriority w:val="20"/>
    <w:qFormat/>
    <w:rsid w:val="00A937B8"/>
    <w:rPr>
      <w:i/>
      <w:iCs/>
    </w:rPr>
  </w:style>
  <w:style w:type="paragraph" w:styleId="Kopfzeile">
    <w:name w:val="header"/>
    <w:basedOn w:val="Standard"/>
    <w:link w:val="KopfzeileZchn"/>
    <w:uiPriority w:val="99"/>
    <w:unhideWhenUsed/>
    <w:rsid w:val="00036A9F"/>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036A9F"/>
  </w:style>
  <w:style w:type="paragraph" w:styleId="Fuzeile">
    <w:name w:val="footer"/>
    <w:basedOn w:val="Standard"/>
    <w:link w:val="FuzeileZchn"/>
    <w:uiPriority w:val="99"/>
    <w:unhideWhenUsed/>
    <w:rsid w:val="00036A9F"/>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036A9F"/>
  </w:style>
  <w:style w:type="character" w:styleId="Kommentarzeichen">
    <w:name w:val="annotation reference"/>
    <w:basedOn w:val="Absatz-Standardschriftart"/>
    <w:uiPriority w:val="99"/>
    <w:semiHidden/>
    <w:unhideWhenUsed/>
    <w:rsid w:val="00F011EA"/>
    <w:rPr>
      <w:sz w:val="16"/>
      <w:szCs w:val="16"/>
    </w:rPr>
  </w:style>
  <w:style w:type="paragraph" w:styleId="Kommentartext">
    <w:name w:val="annotation text"/>
    <w:basedOn w:val="Standard"/>
    <w:link w:val="KommentartextZchn"/>
    <w:uiPriority w:val="99"/>
    <w:semiHidden/>
    <w:unhideWhenUsed/>
    <w:rsid w:val="00F011E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11EA"/>
    <w:rPr>
      <w:sz w:val="20"/>
      <w:szCs w:val="20"/>
    </w:rPr>
  </w:style>
  <w:style w:type="paragraph" w:styleId="Kommentarthema">
    <w:name w:val="annotation subject"/>
    <w:basedOn w:val="Kommentartext"/>
    <w:next w:val="Kommentartext"/>
    <w:link w:val="KommentarthemaZchn"/>
    <w:uiPriority w:val="99"/>
    <w:semiHidden/>
    <w:unhideWhenUsed/>
    <w:rsid w:val="00F011EA"/>
    <w:rPr>
      <w:b/>
      <w:bCs/>
    </w:rPr>
  </w:style>
  <w:style w:type="character" w:customStyle="1" w:styleId="KommentarthemaZchn">
    <w:name w:val="Kommentarthema Zchn"/>
    <w:basedOn w:val="KommentartextZchn"/>
    <w:link w:val="Kommentarthema"/>
    <w:uiPriority w:val="99"/>
    <w:semiHidden/>
    <w:rsid w:val="00F011EA"/>
    <w:rPr>
      <w:b/>
      <w:bCs/>
      <w:sz w:val="20"/>
      <w:szCs w:val="20"/>
    </w:rPr>
  </w:style>
  <w:style w:type="paragraph" w:styleId="Sprechblasentext">
    <w:name w:val="Balloon Text"/>
    <w:basedOn w:val="Standard"/>
    <w:link w:val="SprechblasentextZchn"/>
    <w:uiPriority w:val="99"/>
    <w:semiHidden/>
    <w:unhideWhenUsed/>
    <w:rsid w:val="00F011E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01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24067">
      <w:bodyDiv w:val="1"/>
      <w:marLeft w:val="0"/>
      <w:marRight w:val="0"/>
      <w:marTop w:val="0"/>
      <w:marBottom w:val="0"/>
      <w:divBdr>
        <w:top w:val="none" w:sz="0" w:space="0" w:color="auto"/>
        <w:left w:val="none" w:sz="0" w:space="0" w:color="auto"/>
        <w:bottom w:val="none" w:sz="0" w:space="0" w:color="auto"/>
        <w:right w:val="none" w:sz="0" w:space="0" w:color="auto"/>
      </w:divBdr>
    </w:div>
    <w:div w:id="96397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5502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dc:description/>
  <cp:lastModifiedBy>Andreas Größler</cp:lastModifiedBy>
  <cp:revision>11</cp:revision>
  <dcterms:created xsi:type="dcterms:W3CDTF">2019-07-08T11:30:00Z</dcterms:created>
  <dcterms:modified xsi:type="dcterms:W3CDTF">2019-09-24T11:13:00Z</dcterms:modified>
</cp:coreProperties>
</file>